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6A8840D0">
                <wp:simplePos x="0" y="0"/>
                <wp:positionH relativeFrom="column">
                  <wp:posOffset>5561046</wp:posOffset>
                </wp:positionH>
                <wp:positionV relativeFrom="paragraph">
                  <wp:posOffset>-452234</wp:posOffset>
                </wp:positionV>
                <wp:extent cx="950907" cy="832476"/>
                <wp:effectExtent l="0" t="0" r="0" b="0"/>
                <wp:wrapNone/>
                <wp:docPr id="8" name="Text Box 8"/>
                <wp:cNvGraphicFramePr/>
                <a:graphic xmlns:a="http://schemas.openxmlformats.org/drawingml/2006/main">
                  <a:graphicData uri="http://schemas.microsoft.com/office/word/2010/wordprocessingShape">
                    <wps:wsp>
                      <wps:cNvSpPr txBox="1"/>
                      <wps:spPr>
                        <a:xfrm>
                          <a:off x="0" y="0"/>
                          <a:ext cx="950907" cy="832476"/>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5B4CDD7">
                                  <wp:extent cx="825008" cy="825008"/>
                                  <wp:effectExtent l="0" t="0" r="635" b="635"/>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860399" cy="8603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37.9pt;margin-top:-35.6pt;width:74.85pt;height:6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35B4CDD7">
                            <wp:extent cx="825008" cy="825008"/>
                            <wp:effectExtent l="0" t="0" r="635" b="635"/>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860399" cy="860399"/>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0EEC12B1" w:rsidR="00D35999" w:rsidRDefault="00F74DF2" w:rsidP="00F249D7">
                            <w:pPr>
                              <w:jc w:val="center"/>
                            </w:pPr>
                            <w:r w:rsidRPr="00F74DF2">
                              <w:t>Journal of Health Sustainable Development</w:t>
                            </w:r>
                          </w:p>
                          <w:p w14:paraId="753268B5" w14:textId="2A7BBDED" w:rsidR="009D3BE0" w:rsidRPr="00D35999" w:rsidRDefault="009D3BE0" w:rsidP="00741848">
                            <w:pPr>
                              <w:jc w:val="center"/>
                              <w:rPr>
                                <w:rtl/>
                              </w:rPr>
                            </w:pPr>
                            <w:r w:rsidRPr="009D3BE0">
                              <w:t>Vol.202</w:t>
                            </w:r>
                            <w:r w:rsidR="006B7C45">
                              <w:t>5</w:t>
                            </w:r>
                            <w:r w:rsidRPr="009D3BE0">
                              <w:t xml:space="preserve">, </w:t>
                            </w:r>
                            <w:r w:rsidRPr="00D65C9B">
                              <w:rPr>
                                <w:b/>
                                <w:bCs/>
                              </w:rPr>
                              <w:t>pp</w:t>
                            </w:r>
                            <w:r w:rsidRPr="009D3BE0">
                              <w:t xml:space="preserve">. </w:t>
                            </w:r>
                            <w:r w:rsidR="00A14E8F">
                              <w:rPr>
                                <w:rStyle w:val="Hyperlink"/>
                                <w:u w:val="none"/>
                              </w:rPr>
                              <w:t>21</w:t>
                            </w:r>
                            <w:r w:rsidRPr="0080206D">
                              <w:rPr>
                                <w:rStyle w:val="Hyperlink"/>
                                <w:u w:val="none"/>
                              </w:rPr>
                              <w:t>–</w:t>
                            </w:r>
                            <w:r w:rsidR="00765308">
                              <w:rPr>
                                <w:rStyle w:val="Hyperlink"/>
                                <w:u w:val="none"/>
                              </w:rPr>
                              <w:t>2</w:t>
                            </w:r>
                            <w:r w:rsidR="00A14E8F">
                              <w:rPr>
                                <w:rStyle w:val="Hyperlink"/>
                                <w:u w:val="none"/>
                              </w:rPr>
                              <w:t>5</w:t>
                            </w:r>
                          </w:p>
                          <w:p w14:paraId="29E7D0CE" w14:textId="66B80E05" w:rsidR="00D35999" w:rsidRPr="00D35999" w:rsidRDefault="00D35999" w:rsidP="006B7C45">
                            <w:pPr>
                              <w:jc w:val="center"/>
                            </w:pPr>
                            <w:r w:rsidRPr="00D35999">
                              <w:t xml:space="preserve">DOI: </w:t>
                            </w:r>
                            <w:hyperlink r:id="rId11" w:history="1">
                              <w:r w:rsidR="006B7C45" w:rsidRPr="005034DA">
                                <w:rPr>
                                  <w:rStyle w:val="Hyperlink"/>
                                </w:rPr>
                                <w:t>https://doi.org/10.58496/JHSD/2025/003</w:t>
                              </w:r>
                            </w:hyperlink>
                            <w:r w:rsidRPr="00CB686D">
                              <w:t>;</w:t>
                            </w:r>
                            <w:r w:rsidRPr="00D35999">
                              <w:t xml:space="preserve"> ISSN: </w:t>
                            </w:r>
                            <w:proofErr w:type="spellStart"/>
                            <w:r w:rsidR="001A05DF">
                              <w:t>xxxxx</w:t>
                            </w:r>
                            <w:proofErr w:type="spellEnd"/>
                          </w:p>
                          <w:p w14:paraId="3D423BCA" w14:textId="0A942190" w:rsidR="00D35999" w:rsidRPr="00D35999" w:rsidRDefault="00B254F2" w:rsidP="001A05DF">
                            <w:pPr>
                              <w:jc w:val="center"/>
                            </w:pPr>
                            <w:hyperlink r:id="rId12" w:history="1">
                              <w:r w:rsidR="00F74DF2" w:rsidRPr="001E4C43">
                                <w:rPr>
                                  <w:rStyle w:val="Hyperlink"/>
                                </w:rPr>
                                <w:t xml:space="preserve">https://mesopotamian.press/journals/index.php/JHSD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0EEC12B1" w:rsidR="00D35999" w:rsidRDefault="00F74DF2" w:rsidP="00F249D7">
                      <w:pPr>
                        <w:jc w:val="center"/>
                      </w:pPr>
                      <w:r w:rsidRPr="00F74DF2">
                        <w:t>Journal of Health Sustainable Development</w:t>
                      </w:r>
                    </w:p>
                    <w:p w14:paraId="753268B5" w14:textId="2A7BBDED" w:rsidR="009D3BE0" w:rsidRPr="00D35999" w:rsidRDefault="009D3BE0" w:rsidP="00741848">
                      <w:pPr>
                        <w:jc w:val="center"/>
                        <w:rPr>
                          <w:rtl/>
                        </w:rPr>
                      </w:pPr>
                      <w:r w:rsidRPr="009D3BE0">
                        <w:t>Vol.202</w:t>
                      </w:r>
                      <w:r w:rsidR="006B7C45">
                        <w:t>5</w:t>
                      </w:r>
                      <w:r w:rsidRPr="009D3BE0">
                        <w:t xml:space="preserve">, </w:t>
                      </w:r>
                      <w:r w:rsidRPr="00D65C9B">
                        <w:rPr>
                          <w:b/>
                          <w:bCs/>
                        </w:rPr>
                        <w:t>pp</w:t>
                      </w:r>
                      <w:r w:rsidRPr="009D3BE0">
                        <w:t xml:space="preserve">. </w:t>
                      </w:r>
                      <w:r w:rsidR="00A14E8F">
                        <w:rPr>
                          <w:rStyle w:val="Hyperlink"/>
                          <w:u w:val="none"/>
                        </w:rPr>
                        <w:t>21</w:t>
                      </w:r>
                      <w:r w:rsidRPr="0080206D">
                        <w:rPr>
                          <w:rStyle w:val="Hyperlink"/>
                          <w:u w:val="none"/>
                        </w:rPr>
                        <w:t>–</w:t>
                      </w:r>
                      <w:r w:rsidR="00765308">
                        <w:rPr>
                          <w:rStyle w:val="Hyperlink"/>
                          <w:u w:val="none"/>
                        </w:rPr>
                        <w:t>2</w:t>
                      </w:r>
                      <w:r w:rsidR="00A14E8F">
                        <w:rPr>
                          <w:rStyle w:val="Hyperlink"/>
                          <w:u w:val="none"/>
                        </w:rPr>
                        <w:t>5</w:t>
                      </w:r>
                    </w:p>
                    <w:p w14:paraId="29E7D0CE" w14:textId="66B80E05" w:rsidR="00D35999" w:rsidRPr="00D35999" w:rsidRDefault="00D35999" w:rsidP="006B7C45">
                      <w:pPr>
                        <w:jc w:val="center"/>
                      </w:pPr>
                      <w:r w:rsidRPr="00D35999">
                        <w:t xml:space="preserve">DOI: </w:t>
                      </w:r>
                      <w:hyperlink r:id="rId13" w:history="1">
                        <w:r w:rsidR="006B7C45" w:rsidRPr="005034DA">
                          <w:rPr>
                            <w:rStyle w:val="Hyperlink"/>
                          </w:rPr>
                          <w:t>https://doi.org/10.58496/JHSD/2025/003</w:t>
                        </w:r>
                      </w:hyperlink>
                      <w:r w:rsidRPr="00CB686D">
                        <w:t>;</w:t>
                      </w:r>
                      <w:r w:rsidRPr="00D35999">
                        <w:t xml:space="preserve"> ISSN: </w:t>
                      </w:r>
                      <w:proofErr w:type="spellStart"/>
                      <w:r w:rsidR="001A05DF">
                        <w:t>xxxxx</w:t>
                      </w:r>
                      <w:proofErr w:type="spellEnd"/>
                    </w:p>
                    <w:p w14:paraId="3D423BCA" w14:textId="0A942190" w:rsidR="00D35999" w:rsidRPr="00D35999" w:rsidRDefault="00B254F2" w:rsidP="001A05DF">
                      <w:pPr>
                        <w:jc w:val="center"/>
                      </w:pPr>
                      <w:hyperlink r:id="rId14" w:history="1">
                        <w:r w:rsidR="00F74DF2" w:rsidRPr="001E4C43">
                          <w:rPr>
                            <w:rStyle w:val="Hyperlink"/>
                          </w:rPr>
                          <w:t xml:space="preserve">https://mesopotamian.press/journals/index.php/JHSD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B254F2">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26" alt="" style="position:absolute;left:0;text-align:left;margin-left:36.85pt;margin-top:110.1pt;width:522.05pt;height:0;z-index:-251636736;mso-position-horizontal-relative:page;mso-position-vertical-relative:page" coordorigin="737,-293" coordsize="10441,0">
            <v:shape id="_x0000_s1027" alt=""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0B917C49" w:rsidR="001A3163" w:rsidRPr="00AE2D0C" w:rsidRDefault="00F72291" w:rsidP="00F72291">
      <w:pPr>
        <w:spacing w:before="43"/>
        <w:ind w:left="117"/>
        <w:rPr>
          <w:rFonts w:asciiTheme="majorBidi" w:eastAsia="Century" w:hAnsiTheme="majorBidi" w:cstheme="majorBidi"/>
          <w:sz w:val="32"/>
          <w:szCs w:val="32"/>
        </w:rPr>
      </w:pPr>
      <w:r w:rsidRPr="00F72291">
        <w:rPr>
          <w:rFonts w:asciiTheme="majorBidi" w:eastAsia="Century" w:hAnsiTheme="majorBidi" w:cstheme="majorBidi"/>
          <w:w w:val="97"/>
          <w:sz w:val="32"/>
          <w:szCs w:val="32"/>
        </w:rPr>
        <w:t>Knowledge, Attitude, and Practices (KAP) Regarding Insulin Treatment in Type 1 Diabetes Mellitus Patients: A Cross-Sectional Study</w:t>
      </w:r>
    </w:p>
    <w:p w14:paraId="41AA9664" w14:textId="77777777" w:rsidR="001A3163" w:rsidRDefault="001A3163">
      <w:pPr>
        <w:spacing w:line="220" w:lineRule="exact"/>
        <w:rPr>
          <w:sz w:val="22"/>
          <w:szCs w:val="22"/>
        </w:rPr>
      </w:pPr>
    </w:p>
    <w:p w14:paraId="48585B5C" w14:textId="394F654C" w:rsidR="001A3163" w:rsidRPr="00A61C8C" w:rsidRDefault="00F72291" w:rsidP="002E228C">
      <w:pPr>
        <w:ind w:left="117"/>
      </w:pPr>
      <w:r w:rsidRPr="00F72291">
        <w:rPr>
          <w:spacing w:val="-5"/>
        </w:rPr>
        <w:t xml:space="preserve">Prof. </w:t>
      </w:r>
      <w:proofErr w:type="spellStart"/>
      <w:r w:rsidRPr="00F72291">
        <w:rPr>
          <w:spacing w:val="-5"/>
        </w:rPr>
        <w:t>Faris</w:t>
      </w:r>
      <w:proofErr w:type="spellEnd"/>
      <w:r w:rsidRPr="00F72291">
        <w:rPr>
          <w:spacing w:val="-5"/>
        </w:rPr>
        <w:t xml:space="preserve"> Abdul Kareem </w:t>
      </w:r>
      <w:r>
        <w:rPr>
          <w:rFonts w:hint="cs"/>
          <w:position w:val="7"/>
          <w:rtl/>
        </w:rPr>
        <w:t>1</w:t>
      </w:r>
      <w:proofErr w:type="gramStart"/>
      <w:r w:rsidR="00DF5F20" w:rsidRPr="00A61C8C">
        <w:rPr>
          <w:position w:val="7"/>
        </w:rPr>
        <w:t>,</w:t>
      </w:r>
      <w:r w:rsidRPr="00A61C8C">
        <w:rPr>
          <w:noProof/>
          <w:position w:val="7"/>
        </w:rPr>
        <w:t xml:space="preserve"> </w:t>
      </w:r>
      <w:proofErr w:type="gramEnd"/>
      <w:r w:rsidR="00DF5F20" w:rsidRPr="00A61C8C">
        <w:rPr>
          <w:noProof/>
          <w:position w:val="7"/>
        </w:rPr>
        <w:drawing>
          <wp:inline distT="0" distB="0" distL="0" distR="0" wp14:anchorId="34C7800B" wp14:editId="6E86A1AF">
            <wp:extent cx="137160" cy="137160"/>
            <wp:effectExtent l="0" t="0" r="0" b="0"/>
            <wp:docPr id="16" name="Picture 1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9255C9" w:rsidRPr="00A61C8C">
        <w:t>,</w:t>
      </w:r>
      <w:r w:rsidR="009255C9" w:rsidRPr="00A61C8C">
        <w:rPr>
          <w:spacing w:val="-9"/>
        </w:rPr>
        <w:t xml:space="preserve"> </w:t>
      </w:r>
      <w:r w:rsidRPr="00F72291">
        <w:rPr>
          <w:spacing w:val="-5"/>
        </w:rPr>
        <w:t xml:space="preserve">Prof. </w:t>
      </w:r>
      <w:proofErr w:type="spellStart"/>
      <w:r w:rsidRPr="00F72291">
        <w:rPr>
          <w:spacing w:val="-5"/>
        </w:rPr>
        <w:t>Thamer</w:t>
      </w:r>
      <w:proofErr w:type="spellEnd"/>
      <w:r w:rsidRPr="00F72291">
        <w:rPr>
          <w:spacing w:val="-5"/>
        </w:rPr>
        <w:t xml:space="preserve"> Al </w:t>
      </w:r>
      <w:proofErr w:type="spellStart"/>
      <w:r w:rsidRPr="00F72291">
        <w:rPr>
          <w:spacing w:val="-5"/>
        </w:rPr>
        <w:t>Hilfi</w:t>
      </w:r>
      <w:proofErr w:type="spellEnd"/>
      <w:r w:rsidRPr="00F72291">
        <w:rPr>
          <w:spacing w:val="-5"/>
        </w:rPr>
        <w:t xml:space="preserve"> </w:t>
      </w:r>
      <w:r w:rsidR="002E228C">
        <w:rPr>
          <w:position w:val="7"/>
        </w:rPr>
        <w:t>1</w:t>
      </w:r>
      <w:r w:rsidR="00E03718" w:rsidRPr="00A61C8C">
        <w:rPr>
          <w:position w:val="7"/>
        </w:rPr>
        <w:t xml:space="preserve"> </w:t>
      </w:r>
      <w:r w:rsidR="00DF5F20" w:rsidRPr="00A61C8C">
        <w:rPr>
          <w:position w:val="7"/>
        </w:rPr>
        <w:t>,</w:t>
      </w:r>
      <w:r>
        <w:rPr>
          <w:rFonts w:hint="cs"/>
          <w:position w:val="7"/>
          <w:rtl/>
        </w:rPr>
        <w:t>*</w:t>
      </w:r>
      <w:r>
        <w:rPr>
          <w:position w:val="7"/>
        </w:rPr>
        <w:t>,</w:t>
      </w:r>
      <w:r w:rsidR="00F91A2B" w:rsidRPr="00A61C8C">
        <w:rPr>
          <w:noProof/>
          <w:position w:val="7"/>
        </w:rPr>
        <w:t xml:space="preserve"> </w:t>
      </w:r>
      <w:r w:rsidR="00F91A2B" w:rsidRPr="00A61C8C">
        <w:rPr>
          <w:noProof/>
          <w:position w:val="7"/>
        </w:rPr>
        <w:drawing>
          <wp:inline distT="0" distB="0" distL="0" distR="0" wp14:anchorId="4D7D684C" wp14:editId="646C8C7F">
            <wp:extent cx="137160" cy="137160"/>
            <wp:effectExtent l="0" t="0" r="0" b="0"/>
            <wp:docPr id="17" name="Picture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18"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p>
    <w:p w14:paraId="00B5BAE2" w14:textId="77777777" w:rsidR="001A3163" w:rsidRDefault="001A3163">
      <w:pPr>
        <w:spacing w:before="7" w:line="160" w:lineRule="exact"/>
        <w:rPr>
          <w:sz w:val="16"/>
          <w:szCs w:val="16"/>
        </w:rPr>
      </w:pPr>
    </w:p>
    <w:p w14:paraId="5A1B6C1A" w14:textId="1F94D1E3" w:rsidR="00475411" w:rsidRDefault="00BC4D22" w:rsidP="007222BC">
      <w:pPr>
        <w:ind w:left="117"/>
        <w:rPr>
          <w:i/>
          <w:iCs/>
          <w:w w:val="89"/>
        </w:rPr>
      </w:pPr>
      <w:r w:rsidRPr="00BC4D22">
        <w:rPr>
          <w:i/>
          <w:iCs/>
          <w:w w:val="89"/>
          <w:vertAlign w:val="superscript"/>
        </w:rPr>
        <w:t>1</w:t>
      </w:r>
      <w:r w:rsidR="007222BC" w:rsidRPr="007222BC">
        <w:rPr>
          <w:i/>
          <w:iCs/>
          <w:w w:val="89"/>
        </w:rPr>
        <w:t>Mad</w:t>
      </w:r>
      <w:r w:rsidR="007222BC">
        <w:rPr>
          <w:i/>
          <w:iCs/>
          <w:w w:val="89"/>
        </w:rPr>
        <w:t xml:space="preserve">enat </w:t>
      </w:r>
      <w:proofErr w:type="spellStart"/>
      <w:r w:rsidR="007222BC">
        <w:rPr>
          <w:i/>
          <w:iCs/>
          <w:w w:val="89"/>
        </w:rPr>
        <w:t>Alelem</w:t>
      </w:r>
      <w:proofErr w:type="spellEnd"/>
      <w:r w:rsidR="007222BC">
        <w:rPr>
          <w:i/>
          <w:iCs/>
          <w:w w:val="89"/>
        </w:rPr>
        <w:t xml:space="preserve"> University </w:t>
      </w:r>
      <w:proofErr w:type="gramStart"/>
      <w:r w:rsidR="007222BC">
        <w:rPr>
          <w:i/>
          <w:iCs/>
          <w:w w:val="89"/>
        </w:rPr>
        <w:t xml:space="preserve">College </w:t>
      </w:r>
      <w:r w:rsidR="00475411" w:rsidRPr="00475411">
        <w:rPr>
          <w:i/>
          <w:iCs/>
          <w:w w:val="89"/>
        </w:rPr>
        <w:t>,</w:t>
      </w:r>
      <w:proofErr w:type="gramEnd"/>
      <w:r w:rsidR="007222BC">
        <w:rPr>
          <w:i/>
          <w:iCs/>
          <w:w w:val="89"/>
        </w:rPr>
        <w:t>Iraq</w:t>
      </w:r>
    </w:p>
    <w:p w14:paraId="597F21B1" w14:textId="2A20F9A9" w:rsidR="001A3163" w:rsidRDefault="00475411" w:rsidP="007222BC">
      <w:pPr>
        <w:rPr>
          <w:sz w:val="14"/>
          <w:szCs w:val="14"/>
        </w:rPr>
      </w:pPr>
      <w:r>
        <w:rPr>
          <w:i/>
          <w:iCs/>
          <w:w w:val="97"/>
          <w:position w:val="7"/>
        </w:rPr>
        <w:t xml:space="preserve"> </w:t>
      </w:r>
    </w:p>
    <w:p w14:paraId="7D3C580B" w14:textId="77777777" w:rsidR="001A3163" w:rsidRDefault="001A3163">
      <w:pPr>
        <w:spacing w:line="200" w:lineRule="exact"/>
        <w:sectPr w:rsidR="001A3163" w:rsidSect="002E228C">
          <w:headerReference w:type="default" r:id="rId20"/>
          <w:footerReference w:type="default" r:id="rId21"/>
          <w:pgSz w:w="11920" w:h="15880"/>
          <w:pgMar w:top="880" w:right="620" w:bottom="280" w:left="620" w:header="720" w:footer="720" w:gutter="0"/>
          <w:pgNumType w:start="21"/>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lastRenderedPageBreak/>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C9832D9"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608B7A19" w14:textId="195C23B6" w:rsidR="001A3163" w:rsidRDefault="009255C9" w:rsidP="00BC4D22">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00234EF7">
        <w:rPr>
          <w:rFonts w:asciiTheme="majorBidi" w:hAnsiTheme="majorBidi" w:cstheme="majorBidi"/>
          <w:spacing w:val="2"/>
          <w:w w:val="95"/>
          <w:sz w:val="14"/>
          <w:szCs w:val="14"/>
        </w:rPr>
        <w:t xml:space="preserve"> </w:t>
      </w:r>
      <w:r w:rsidR="00BC4D22">
        <w:rPr>
          <w:rFonts w:asciiTheme="majorBidi" w:hAnsiTheme="majorBidi" w:cstheme="majorBidi"/>
          <w:spacing w:val="2"/>
          <w:w w:val="95"/>
          <w:sz w:val="14"/>
          <w:szCs w:val="14"/>
        </w:rPr>
        <w:t xml:space="preserve">  </w:t>
      </w:r>
      <w:r w:rsidR="00234EF7">
        <w:rPr>
          <w:rFonts w:asciiTheme="majorBidi" w:hAnsiTheme="majorBidi" w:cstheme="majorBidi"/>
          <w:spacing w:val="2"/>
          <w:w w:val="95"/>
          <w:sz w:val="14"/>
          <w:szCs w:val="14"/>
        </w:rPr>
        <w:t xml:space="preserve"> </w:t>
      </w:r>
      <w:r w:rsidR="004759B1">
        <w:rPr>
          <w:rFonts w:asciiTheme="majorBidi" w:hAnsiTheme="majorBidi" w:cstheme="majorBidi"/>
          <w:sz w:val="14"/>
          <w:szCs w:val="14"/>
        </w:rPr>
        <w:t>12</w:t>
      </w:r>
      <w:r w:rsidRPr="00AE2D0C">
        <w:rPr>
          <w:rFonts w:asciiTheme="majorBidi" w:hAnsiTheme="majorBidi" w:cstheme="majorBidi"/>
          <w:spacing w:val="-9"/>
          <w:sz w:val="14"/>
          <w:szCs w:val="14"/>
        </w:rPr>
        <w:t xml:space="preserve"> </w:t>
      </w:r>
      <w:r w:rsidR="004759B1">
        <w:rPr>
          <w:rFonts w:asciiTheme="majorBidi" w:hAnsiTheme="majorBidi" w:cstheme="majorBidi"/>
          <w:spacing w:val="-4"/>
          <w:sz w:val="14"/>
          <w:szCs w:val="14"/>
        </w:rPr>
        <w:t>Oct</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w:t>
      </w:r>
      <w:r w:rsidR="00BC4D22">
        <w:rPr>
          <w:rFonts w:asciiTheme="majorBidi" w:hAnsiTheme="majorBidi" w:cstheme="majorBidi"/>
          <w:sz w:val="14"/>
          <w:szCs w:val="14"/>
        </w:rPr>
        <w:t xml:space="preserve">4 </w:t>
      </w:r>
      <w:r w:rsidR="004759B1">
        <w:rPr>
          <w:rFonts w:asciiTheme="majorBidi" w:hAnsiTheme="majorBidi" w:cstheme="majorBidi"/>
          <w:sz w:val="14"/>
          <w:szCs w:val="14"/>
        </w:rPr>
        <w:t xml:space="preserve">Revised  </w:t>
      </w:r>
      <w:r w:rsidR="00234EF7">
        <w:rPr>
          <w:rFonts w:asciiTheme="majorBidi" w:hAnsiTheme="majorBidi" w:cstheme="majorBidi"/>
          <w:sz w:val="14"/>
          <w:szCs w:val="14"/>
        </w:rPr>
        <w:t xml:space="preserve">   </w:t>
      </w:r>
      <w:r w:rsidR="00BC4D22">
        <w:rPr>
          <w:rFonts w:asciiTheme="majorBidi" w:hAnsiTheme="majorBidi" w:cstheme="majorBidi"/>
          <w:sz w:val="14"/>
          <w:szCs w:val="14"/>
        </w:rPr>
        <w:t xml:space="preserve"> </w:t>
      </w:r>
      <w:r w:rsidR="004759B1">
        <w:rPr>
          <w:rFonts w:asciiTheme="majorBidi" w:hAnsiTheme="majorBidi" w:cstheme="majorBidi"/>
          <w:sz w:val="14"/>
          <w:szCs w:val="14"/>
        </w:rPr>
        <w:t>3 Nov 2024</w:t>
      </w:r>
      <w:r w:rsidR="00BC4D22">
        <w:rPr>
          <w:rFonts w:asciiTheme="majorBidi" w:hAnsiTheme="majorBidi" w:cstheme="majorBidi"/>
          <w:sz w:val="14"/>
          <w:szCs w:val="14"/>
        </w:rPr>
        <w:t xml:space="preserve"> </w:t>
      </w: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00BC4D22">
        <w:rPr>
          <w:rFonts w:asciiTheme="majorBidi" w:hAnsiTheme="majorBidi" w:cstheme="majorBidi"/>
          <w:spacing w:val="-9"/>
          <w:sz w:val="14"/>
          <w:szCs w:val="14"/>
        </w:rPr>
        <w:t xml:space="preserve"> </w:t>
      </w:r>
      <w:r w:rsidR="00234EF7">
        <w:rPr>
          <w:rFonts w:asciiTheme="majorBidi" w:hAnsiTheme="majorBidi" w:cstheme="majorBidi"/>
          <w:spacing w:val="-9"/>
          <w:sz w:val="14"/>
          <w:szCs w:val="14"/>
        </w:rPr>
        <w:t xml:space="preserve"> </w:t>
      </w:r>
      <w:r w:rsidR="004759B1">
        <w:rPr>
          <w:rFonts w:asciiTheme="majorBidi" w:hAnsiTheme="majorBidi" w:cstheme="majorBidi"/>
          <w:sz w:val="14"/>
          <w:szCs w:val="14"/>
        </w:rPr>
        <w:t>22</w:t>
      </w:r>
      <w:r w:rsidRPr="00AE2D0C">
        <w:rPr>
          <w:rFonts w:asciiTheme="majorBidi" w:hAnsiTheme="majorBidi" w:cstheme="majorBidi"/>
          <w:spacing w:val="-9"/>
          <w:sz w:val="14"/>
          <w:szCs w:val="14"/>
        </w:rPr>
        <w:t xml:space="preserve"> </w:t>
      </w:r>
      <w:r w:rsidR="004759B1">
        <w:rPr>
          <w:rFonts w:asciiTheme="majorBidi" w:hAnsiTheme="majorBidi" w:cstheme="majorBidi"/>
          <w:spacing w:val="2"/>
          <w:w w:val="94"/>
          <w:sz w:val="14"/>
          <w:szCs w:val="14"/>
        </w:rPr>
        <w:t>Nov</w:t>
      </w:r>
      <w:r w:rsidRPr="00AE2D0C">
        <w:rPr>
          <w:rFonts w:asciiTheme="majorBidi" w:hAnsiTheme="majorBidi" w:cstheme="majorBidi"/>
          <w:w w:val="94"/>
          <w:sz w:val="14"/>
          <w:szCs w:val="14"/>
        </w:rPr>
        <w:t xml:space="preserve"> </w:t>
      </w:r>
      <w:r w:rsidRPr="00AE2D0C">
        <w:rPr>
          <w:rFonts w:asciiTheme="majorBidi" w:hAnsiTheme="majorBidi" w:cstheme="majorBidi"/>
          <w:sz w:val="14"/>
          <w:szCs w:val="14"/>
        </w:rPr>
        <w:t>202</w:t>
      </w:r>
      <w:r w:rsidR="004759B1">
        <w:rPr>
          <w:rFonts w:asciiTheme="majorBidi" w:hAnsiTheme="majorBidi" w:cstheme="majorBidi"/>
          <w:sz w:val="14"/>
          <w:szCs w:val="14"/>
        </w:rPr>
        <w:t>4</w:t>
      </w:r>
    </w:p>
    <w:p w14:paraId="17FBF4FD" w14:textId="7ED2C379" w:rsidR="000614E2" w:rsidRPr="00AE2D0C" w:rsidRDefault="000614E2" w:rsidP="000A3D0F">
      <w:pPr>
        <w:spacing w:before="19"/>
        <w:ind w:left="117"/>
        <w:rPr>
          <w:rFonts w:asciiTheme="majorBidi" w:hAnsiTheme="majorBidi" w:cstheme="majorBidi"/>
          <w:sz w:val="14"/>
          <w:szCs w:val="14"/>
        </w:rPr>
      </w:pPr>
      <w:proofErr w:type="gramStart"/>
      <w:r>
        <w:rPr>
          <w:rFonts w:asciiTheme="majorBidi" w:hAnsiTheme="majorBidi" w:cstheme="majorBidi"/>
          <w:sz w:val="14"/>
          <w:szCs w:val="14"/>
        </w:rPr>
        <w:t xml:space="preserve">Published </w:t>
      </w:r>
      <w:r w:rsidR="00BC4D22">
        <w:rPr>
          <w:rFonts w:asciiTheme="majorBidi" w:hAnsiTheme="majorBidi" w:cstheme="majorBidi"/>
          <w:sz w:val="14"/>
          <w:szCs w:val="14"/>
        </w:rPr>
        <w:t xml:space="preserve"> </w:t>
      </w:r>
      <w:r w:rsidR="000A3D0F">
        <w:rPr>
          <w:rFonts w:asciiTheme="majorBidi" w:hAnsiTheme="majorBidi" w:cstheme="majorBidi"/>
          <w:sz w:val="14"/>
          <w:szCs w:val="14"/>
        </w:rPr>
        <w:t>22</w:t>
      </w:r>
      <w:proofErr w:type="gramEnd"/>
      <w:r>
        <w:rPr>
          <w:rFonts w:asciiTheme="majorBidi" w:hAnsiTheme="majorBidi" w:cstheme="majorBidi"/>
          <w:sz w:val="14"/>
          <w:szCs w:val="14"/>
        </w:rPr>
        <w:t xml:space="preserve"> </w:t>
      </w:r>
      <w:r w:rsidR="004759B1">
        <w:rPr>
          <w:rFonts w:asciiTheme="majorBidi" w:hAnsiTheme="majorBidi" w:cstheme="majorBidi"/>
          <w:sz w:val="14"/>
          <w:szCs w:val="14"/>
        </w:rPr>
        <w:t>Feb</w:t>
      </w:r>
      <w:r>
        <w:rPr>
          <w:rFonts w:asciiTheme="majorBidi" w:hAnsiTheme="majorBidi" w:cstheme="majorBidi"/>
          <w:sz w:val="14"/>
          <w:szCs w:val="14"/>
        </w:rPr>
        <w:t xml:space="preserve"> 202</w:t>
      </w:r>
      <w:r w:rsidR="004759B1">
        <w:rPr>
          <w:rFonts w:asciiTheme="majorBidi" w:hAnsiTheme="majorBidi" w:cstheme="majorBidi"/>
          <w:sz w:val="14"/>
          <w:szCs w:val="14"/>
        </w:rPr>
        <w:t>5</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1FE3A01F" w14:textId="77777777" w:rsidR="00234EF7" w:rsidRDefault="00234EF7" w:rsidP="00234EF7">
      <w:pPr>
        <w:spacing w:before="78" w:line="268" w:lineRule="auto"/>
        <w:ind w:left="117" w:right="13"/>
        <w:rPr>
          <w:rFonts w:asciiTheme="majorBidi" w:hAnsiTheme="majorBidi" w:cstheme="majorBidi"/>
          <w:spacing w:val="-2"/>
          <w:sz w:val="14"/>
          <w:szCs w:val="14"/>
        </w:rPr>
      </w:pPr>
      <w:r>
        <w:rPr>
          <w:rFonts w:asciiTheme="majorBidi" w:hAnsiTheme="majorBidi" w:cstheme="majorBidi"/>
          <w:spacing w:val="-2"/>
          <w:sz w:val="14"/>
          <w:szCs w:val="14"/>
        </w:rPr>
        <w:t>D</w:t>
      </w:r>
      <w:r w:rsidRPr="00234EF7">
        <w:rPr>
          <w:rFonts w:asciiTheme="majorBidi" w:hAnsiTheme="majorBidi" w:cstheme="majorBidi"/>
          <w:spacing w:val="-2"/>
          <w:sz w:val="14"/>
          <w:szCs w:val="14"/>
        </w:rPr>
        <w:t xml:space="preserve">iabetes mellitus </w:t>
      </w:r>
    </w:p>
    <w:p w14:paraId="7DD4147F" w14:textId="77777777" w:rsidR="00234EF7" w:rsidRDefault="00234EF7" w:rsidP="00234EF7">
      <w:pPr>
        <w:spacing w:before="78" w:line="268" w:lineRule="auto"/>
        <w:ind w:left="117" w:right="13"/>
        <w:rPr>
          <w:rFonts w:asciiTheme="majorBidi" w:hAnsiTheme="majorBidi" w:cstheme="majorBidi"/>
          <w:spacing w:val="-2"/>
          <w:sz w:val="14"/>
          <w:szCs w:val="14"/>
        </w:rPr>
      </w:pPr>
      <w:proofErr w:type="gramStart"/>
      <w:r w:rsidRPr="00234EF7">
        <w:rPr>
          <w:rFonts w:asciiTheme="majorBidi" w:hAnsiTheme="majorBidi" w:cstheme="majorBidi"/>
          <w:spacing w:val="-2"/>
          <w:sz w:val="14"/>
          <w:szCs w:val="14"/>
        </w:rPr>
        <w:t>insulin</w:t>
      </w:r>
      <w:proofErr w:type="gramEnd"/>
      <w:r w:rsidRPr="00234EF7">
        <w:rPr>
          <w:rFonts w:asciiTheme="majorBidi" w:hAnsiTheme="majorBidi" w:cstheme="majorBidi"/>
          <w:spacing w:val="-2"/>
          <w:sz w:val="14"/>
          <w:szCs w:val="14"/>
        </w:rPr>
        <w:t xml:space="preserve"> therapy </w:t>
      </w:r>
    </w:p>
    <w:p w14:paraId="02620126" w14:textId="77777777" w:rsidR="004C0E45" w:rsidRDefault="004C0E45" w:rsidP="004A5938">
      <w:pPr>
        <w:spacing w:before="78" w:line="268" w:lineRule="auto"/>
        <w:ind w:left="117" w:right="13"/>
        <w:rPr>
          <w:rFonts w:asciiTheme="majorBidi" w:hAnsiTheme="majorBidi" w:cstheme="majorBidi"/>
          <w:spacing w:val="-2"/>
          <w:sz w:val="14"/>
          <w:szCs w:val="14"/>
        </w:rPr>
      </w:pPr>
      <w:proofErr w:type="gramStart"/>
      <w:r w:rsidRPr="004C0E45">
        <w:rPr>
          <w:rFonts w:asciiTheme="majorBidi" w:hAnsiTheme="majorBidi" w:cstheme="majorBidi"/>
          <w:spacing w:val="-2"/>
          <w:sz w:val="14"/>
          <w:szCs w:val="14"/>
        </w:rPr>
        <w:t>hypoglycemia</w:t>
      </w:r>
      <w:proofErr w:type="gramEnd"/>
      <w:r w:rsidRPr="004C0E45">
        <w:rPr>
          <w:rFonts w:asciiTheme="majorBidi" w:hAnsiTheme="majorBidi" w:cstheme="majorBidi"/>
          <w:spacing w:val="-2"/>
          <w:sz w:val="14"/>
          <w:szCs w:val="14"/>
        </w:rPr>
        <w:t xml:space="preserve"> </w:t>
      </w:r>
    </w:p>
    <w:p w14:paraId="1599EF0C" w14:textId="305E3A35" w:rsidR="004A5938" w:rsidRDefault="004C0E45" w:rsidP="004C0E45">
      <w:pPr>
        <w:spacing w:before="78" w:line="268" w:lineRule="auto"/>
        <w:ind w:left="117" w:right="13"/>
        <w:rPr>
          <w:rFonts w:asciiTheme="majorBidi" w:hAnsiTheme="majorBidi" w:cstheme="majorBidi"/>
          <w:spacing w:val="-2"/>
          <w:sz w:val="14"/>
          <w:szCs w:val="14"/>
        </w:rPr>
      </w:pPr>
      <w:proofErr w:type="gramStart"/>
      <w:r w:rsidRPr="004C0E45">
        <w:rPr>
          <w:rFonts w:asciiTheme="majorBidi" w:hAnsiTheme="majorBidi" w:cstheme="majorBidi"/>
          <w:spacing w:val="-2"/>
          <w:sz w:val="14"/>
          <w:szCs w:val="14"/>
        </w:rPr>
        <w:t>techniques</w:t>
      </w:r>
      <w:proofErr w:type="gramEnd"/>
      <w:r w:rsidRPr="004C0E45">
        <w:rPr>
          <w:rFonts w:asciiTheme="majorBidi" w:hAnsiTheme="majorBidi" w:cstheme="majorBidi"/>
          <w:spacing w:val="-2"/>
          <w:sz w:val="14"/>
          <w:szCs w:val="14"/>
        </w:rPr>
        <w:t xml:space="preserve"> </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4ED572DD" w14:textId="77777777" w:rsidR="0015745D" w:rsidRDefault="009255C9" w:rsidP="00406FB5">
      <w:pPr>
        <w:rPr>
          <w:b/>
          <w:bCs/>
        </w:rPr>
      </w:pPr>
      <w:r w:rsidRPr="00406FB5">
        <w:rPr>
          <w:b/>
          <w:bCs/>
        </w:rPr>
        <w:br w:type="column"/>
      </w:r>
    </w:p>
    <w:p w14:paraId="0361047F" w14:textId="6DA47454" w:rsidR="001A3163" w:rsidRPr="00406FB5" w:rsidRDefault="009255C9" w:rsidP="00406FB5">
      <w:pPr>
        <w:rPr>
          <w:rFonts w:ascii="Century" w:eastAsia="Century" w:hAnsi="Century" w:cs="Century"/>
          <w:b/>
          <w:bCs/>
        </w:rPr>
      </w:pP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5E3A969" w:rsidR="001A3163" w:rsidRDefault="0015745D" w:rsidP="00D6324C">
      <w:pPr>
        <w:pStyle w:val="BodyText"/>
        <w:ind w:firstLine="0"/>
        <w:rPr>
          <w:lang w:val="en-US"/>
        </w:rPr>
      </w:pPr>
      <w:r w:rsidRPr="00FE49C8">
        <w:rPr>
          <w:b/>
          <w:bCs/>
          <w:noProof/>
          <w:lang w:val="en-US" w:eastAsia="en-US"/>
        </w:rPr>
        <mc:AlternateContent>
          <mc:Choice Requires="wpg">
            <w:drawing>
              <wp:anchor distT="0" distB="0" distL="114300" distR="114300" simplePos="0" relativeHeight="251672576" behindDoc="1" locked="0" layoutInCell="1" allowOverlap="1" wp14:anchorId="6FF07CA2" wp14:editId="0505E957">
                <wp:simplePos x="0" y="0"/>
                <wp:positionH relativeFrom="page">
                  <wp:posOffset>1843723</wp:posOffset>
                </wp:positionH>
                <wp:positionV relativeFrom="page">
                  <wp:posOffset>3114674</wp:posOffset>
                </wp:positionV>
                <wp:extent cx="45719" cy="4881563"/>
                <wp:effectExtent l="0" t="0" r="0" b="146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19" cy="4881563"/>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45.2pt;margin-top:245.25pt;width:3.6pt;height:384.4pt;flip:x;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34580395" w14:textId="16663FAA" w:rsidR="00FE49C8" w:rsidRPr="00FE49C8" w:rsidRDefault="00FE49C8" w:rsidP="00D6324C">
      <w:pPr>
        <w:pStyle w:val="BodyText"/>
        <w:ind w:firstLine="0"/>
        <w:rPr>
          <w:b/>
          <w:bCs/>
          <w:lang w:val="en-US"/>
        </w:rPr>
      </w:pPr>
      <w:r w:rsidRPr="00FE49C8">
        <w:rPr>
          <w:b/>
          <w:bCs/>
          <w:lang w:val="en-US"/>
        </w:rPr>
        <w:t>Background</w:t>
      </w:r>
    </w:p>
    <w:p w14:paraId="58275260" w14:textId="77777777" w:rsidR="00FE49C8" w:rsidRDefault="00FE49C8" w:rsidP="00B53A33">
      <w:pPr>
        <w:pStyle w:val="BodyText"/>
        <w:ind w:firstLine="0"/>
        <w:rPr>
          <w:lang w:val="en-US"/>
        </w:rPr>
      </w:pPr>
      <w:r w:rsidRPr="00FE49C8">
        <w:t>Type 1 diabetes mellitus (T1DM) is a chronic autoimmune disease characterized by persistent hyperglycemia due to an absolute deficiency of insulin. Effective management requires lifelong insulin therapy, which demands appropriate knowledge, attitudes, and practices (KAP) among patients and their families. Improper use of insulin can result in severe complications, including hypoglycemia, diabetic ketoacidosis, and long-term organ damage. Therefore, understanding the KAP levels in this population is essential to improve disease outcomes and prevent avoidable complications.</w:t>
      </w:r>
    </w:p>
    <w:p w14:paraId="21EE4DFB" w14:textId="07501808" w:rsidR="00FE49C8" w:rsidRPr="00FE49C8" w:rsidRDefault="00FE49C8" w:rsidP="00B53A33">
      <w:pPr>
        <w:pStyle w:val="BodyText"/>
        <w:ind w:firstLine="0"/>
        <w:rPr>
          <w:b/>
          <w:bCs/>
          <w:lang w:val="en-US"/>
        </w:rPr>
      </w:pPr>
      <w:r w:rsidRPr="00FE49C8">
        <w:rPr>
          <w:b/>
          <w:bCs/>
          <w:lang w:val="en-US"/>
        </w:rPr>
        <w:t>Methodology</w:t>
      </w:r>
    </w:p>
    <w:p w14:paraId="6D5E1521" w14:textId="21284BBD" w:rsidR="00FE49C8" w:rsidRDefault="00FE49C8" w:rsidP="00B53A33">
      <w:pPr>
        <w:pStyle w:val="BodyText"/>
        <w:ind w:firstLine="0"/>
        <w:rPr>
          <w:lang w:val="en-US"/>
        </w:rPr>
      </w:pPr>
      <w:r w:rsidRPr="00FE49C8">
        <w:rPr>
          <w:lang w:val="en-US"/>
        </w:rPr>
        <w:t xml:space="preserve">This observational study assessed the KAP levels of patients with T1DM concerning insulin therapy. Conducted at the Diabetic Center, </w:t>
      </w:r>
      <w:proofErr w:type="spellStart"/>
      <w:r w:rsidRPr="00FE49C8">
        <w:rPr>
          <w:lang w:val="en-US"/>
        </w:rPr>
        <w:t>Kademia</w:t>
      </w:r>
      <w:proofErr w:type="spellEnd"/>
      <w:r w:rsidRPr="00FE49C8">
        <w:rPr>
          <w:lang w:val="en-US"/>
        </w:rPr>
        <w:t xml:space="preserve"> Teaching Hospital in Baghdad, the study included 175 patients with T1DM from November 2023 to March 2024. Participants were selected based on predefined inclusion criteria and their consent. Data were collected using a structured questionnaire designed to evaluate knowledge (e.g., insulin function and administration techniques), attitudes (e.g., perceptions of insulin use), and practices (e.g., injection skills and frequency of insulin use).</w:t>
      </w:r>
    </w:p>
    <w:p w14:paraId="68DF275E" w14:textId="77777777" w:rsidR="0015745D" w:rsidRDefault="00FE49C8" w:rsidP="0015745D">
      <w:pPr>
        <w:pStyle w:val="BodyText"/>
        <w:ind w:firstLine="0"/>
        <w:rPr>
          <w:b/>
          <w:bCs/>
          <w:lang w:val="en-US"/>
        </w:rPr>
      </w:pPr>
      <w:r w:rsidRPr="00FE49C8">
        <w:rPr>
          <w:b/>
          <w:bCs/>
          <w:lang w:val="en-US"/>
        </w:rPr>
        <w:t>Results</w:t>
      </w:r>
    </w:p>
    <w:p w14:paraId="2733C818" w14:textId="53F62361" w:rsidR="00FE49C8" w:rsidRDefault="00FE49C8" w:rsidP="0015745D">
      <w:pPr>
        <w:pStyle w:val="BodyText"/>
        <w:ind w:firstLine="0"/>
      </w:pPr>
      <w:r w:rsidRPr="00FE49C8">
        <w:t>The findings revealed an alarmingly low overall KAP score among patients, with a mean score (M.S) of 1.46 on a 5-point scale. Specifically, 65% of patients demonstrated inadequate knowledge about insulin use, 72% exhibited negative attitudes, and 68% had suboptimal practices regarding insulin administration. Conversely, family members responsible for administering insulin showed moderate KAP levels, indicating a slight gap in their understanding and skillset compared to healthcare standards.</w:t>
      </w:r>
    </w:p>
    <w:p w14:paraId="089005BB" w14:textId="61F52856" w:rsidR="00FE49C8" w:rsidRPr="00FE49C8" w:rsidRDefault="00FE49C8" w:rsidP="00FE49C8">
      <w:pPr>
        <w:spacing w:line="259" w:lineRule="auto"/>
        <w:rPr>
          <w:b/>
          <w:bCs/>
        </w:rPr>
      </w:pPr>
      <w:r w:rsidRPr="00FE49C8">
        <w:rPr>
          <w:b/>
          <w:bCs/>
        </w:rPr>
        <w:t>Conclusions &amp; Recommendations</w:t>
      </w:r>
    </w:p>
    <w:p w14:paraId="3EFACC93" w14:textId="7C50149D" w:rsidR="00FE49C8" w:rsidRDefault="00FE49C8" w:rsidP="00FE49C8">
      <w:pPr>
        <w:spacing w:line="259" w:lineRule="auto"/>
      </w:pPr>
      <w:r w:rsidRPr="00FE49C8">
        <w:t>The study concludes that there is a critical need to enhance the KAP levels of T1DM patients and their caregivers. Targeted educational programs and hands-on training sessions should be implemented in diabetes centers and hospitals to empower patients and families to manage T1DM effectively. Additionally, developing accessible educational materials and fostering collaborative efforts between healthcare providers and families could substantially improve treatment adherence and outcomes.</w:t>
      </w: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4"/>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lastRenderedPageBreak/>
        <w:t>INTRODUCTION</w:t>
      </w:r>
    </w:p>
    <w:p w14:paraId="3890DA54" w14:textId="7F7676C1" w:rsidR="00166EFC" w:rsidRPr="00166EFC" w:rsidRDefault="00166EFC" w:rsidP="00166EFC">
      <w:pPr>
        <w:pStyle w:val="BodyText"/>
        <w:ind w:firstLine="0"/>
        <w:rPr>
          <w:lang w:val="en-US"/>
        </w:rPr>
      </w:pPr>
      <w:r>
        <w:t>Type 1 Diabetes Mellitus (T1DM) is a chronic autoimmune disorder characterized by the destruction of insulin-producing β-cells in the pancreas, leading to insulin deficiency. This condition necessitates lifelong insulin therapy to maintain blood glucose control and prevent acute and long-term complications. Effective management of T1DM relies heavily on the knowledge, attitudes, and practices (KAP) of both patients and caregivers regarding insulin administration and diabetes management.</w:t>
      </w:r>
      <w:r>
        <w:rPr>
          <w:lang w:val="en-US"/>
        </w:rPr>
        <w:t>[</w:t>
      </w:r>
      <w:r>
        <w:t>1</w:t>
      </w:r>
      <w:r>
        <w:rPr>
          <w:lang w:val="en-US"/>
        </w:rPr>
        <w:t>-</w:t>
      </w:r>
      <w:r>
        <w:t>2</w:t>
      </w:r>
      <w:r>
        <w:rPr>
          <w:lang w:val="en-US"/>
        </w:rPr>
        <w:t>]</w:t>
      </w:r>
    </w:p>
    <w:p w14:paraId="63B6FF5E" w14:textId="769F2F19" w:rsidR="00A456A4" w:rsidRPr="00166EFC" w:rsidRDefault="00166EFC" w:rsidP="00166EFC">
      <w:pPr>
        <w:pStyle w:val="BodyText"/>
        <w:ind w:firstLine="0"/>
        <w:rPr>
          <w:lang w:val="en-US"/>
        </w:rPr>
      </w:pPr>
      <w:r>
        <w:t xml:space="preserve"> Inadequate knowledge, negative attitudes, and poor practices surrounding insulin use can result in complications such as hypoglycemia, diabetic ketoacidosis, and long-term damage to organs such as the heart, kidneys, and eyes. The purpose of this study was to assess the KAP levels regarding insulin therapy among patients with T1DM and their caregivers at the Diabetic Center, </w:t>
      </w:r>
      <w:proofErr w:type="spellStart"/>
      <w:r>
        <w:t>Kademia</w:t>
      </w:r>
      <w:proofErr w:type="spellEnd"/>
      <w:r>
        <w:t xml:space="preserve"> Teaching Hospital in Baghdad, Iraq. Understanding these levels is crucial for the development of targeted educational interventions that could improve disease outcomes and prevent preventable complications.</w:t>
      </w:r>
      <w:r>
        <w:rPr>
          <w:lang w:val="en-US"/>
        </w:rPr>
        <w:t>[</w:t>
      </w:r>
      <w:r>
        <w:t>3</w:t>
      </w:r>
      <w:r>
        <w:rPr>
          <w:lang w:val="en-US"/>
        </w:rPr>
        <w:t>-</w:t>
      </w:r>
      <w:r>
        <w:t>4</w:t>
      </w:r>
      <w:r>
        <w:rPr>
          <w:lang w:val="en-US"/>
        </w:rPr>
        <w:t>]</w:t>
      </w:r>
    </w:p>
    <w:p w14:paraId="4FF66D94" w14:textId="77777777" w:rsidR="008B70D0" w:rsidRDefault="008B70D0" w:rsidP="008B70D0">
      <w:pPr>
        <w:pStyle w:val="Heading2"/>
        <w:rPr>
          <w:rFonts w:eastAsia="Arial"/>
          <w:color w:val="000000"/>
          <w:szCs w:val="20"/>
        </w:rPr>
      </w:pPr>
      <w:r>
        <w:rPr>
          <w:rFonts w:eastAsia="Arial"/>
          <w:color w:val="000000"/>
          <w:szCs w:val="20"/>
        </w:rPr>
        <w:t xml:space="preserve">2.   </w:t>
      </w:r>
      <w:r w:rsidRPr="008B70D0">
        <w:rPr>
          <w:rFonts w:eastAsia="Arial"/>
          <w:color w:val="000000"/>
          <w:szCs w:val="20"/>
        </w:rPr>
        <w:t>M</w:t>
      </w:r>
      <w:r>
        <w:rPr>
          <w:rFonts w:eastAsia="Arial"/>
          <w:color w:val="000000"/>
          <w:szCs w:val="20"/>
        </w:rPr>
        <w:t>ETHODOLOGY</w:t>
      </w:r>
    </w:p>
    <w:p w14:paraId="50762D83" w14:textId="7E5CEC83" w:rsidR="008B70D0" w:rsidRDefault="008B70D0" w:rsidP="008B70D0">
      <w:pPr>
        <w:pStyle w:val="Heading2"/>
        <w:rPr>
          <w:rFonts w:eastAsia="Arial"/>
          <w:b w:val="0"/>
          <w:bCs w:val="0"/>
          <w:color w:val="000000"/>
          <w:sz w:val="20"/>
          <w:szCs w:val="20"/>
        </w:rPr>
      </w:pPr>
      <w:r w:rsidRPr="008B70D0">
        <w:rPr>
          <w:rFonts w:eastAsia="Arial"/>
          <w:color w:val="000000"/>
          <w:szCs w:val="20"/>
        </w:rPr>
        <w:t xml:space="preserve"> </w:t>
      </w:r>
      <w:r w:rsidRPr="008B70D0">
        <w:rPr>
          <w:rFonts w:eastAsia="Arial"/>
          <w:b w:val="0"/>
          <w:bCs w:val="0"/>
          <w:color w:val="000000"/>
          <w:sz w:val="20"/>
          <w:szCs w:val="20"/>
        </w:rPr>
        <w:t xml:space="preserve">This observational, cross-sectional study was conducted at the Diabetic Center, </w:t>
      </w:r>
      <w:proofErr w:type="spellStart"/>
      <w:r w:rsidRPr="008B70D0">
        <w:rPr>
          <w:rFonts w:eastAsia="Arial"/>
          <w:b w:val="0"/>
          <w:bCs w:val="0"/>
          <w:color w:val="000000"/>
          <w:sz w:val="20"/>
          <w:szCs w:val="20"/>
        </w:rPr>
        <w:t>Kademia</w:t>
      </w:r>
      <w:proofErr w:type="spellEnd"/>
      <w:r w:rsidRPr="008B70D0">
        <w:rPr>
          <w:rFonts w:eastAsia="Arial"/>
          <w:b w:val="0"/>
          <w:bCs w:val="0"/>
          <w:color w:val="000000"/>
          <w:sz w:val="20"/>
          <w:szCs w:val="20"/>
        </w:rPr>
        <w:t xml:space="preserve"> Teaching Hospital, Baghdad, from November 2023 to March 2024. A total of 175 patients with T1DM, aged 18 and above, were included in the study based on predefined inclusion criteria. Patients were selected from the clinic's regular visits, and their participation was voluntary with informed consent. Data were collected using a structured, validated questionnaire designed to assess three main components: knowledge, attitude, and practices related to insulin therapy.</w:t>
      </w:r>
    </w:p>
    <w:p w14:paraId="0055C125" w14:textId="5C75B89F" w:rsidR="00801362" w:rsidRPr="008476DC" w:rsidRDefault="00801362" w:rsidP="008476DC">
      <w:pPr>
        <w:pStyle w:val="ListParagraph"/>
        <w:numPr>
          <w:ilvl w:val="0"/>
          <w:numId w:val="38"/>
        </w:numPr>
        <w:rPr>
          <w:rFonts w:eastAsia="Arial"/>
        </w:rPr>
      </w:pPr>
      <w:r w:rsidRPr="008476DC">
        <w:rPr>
          <w:rFonts w:eastAsia="Arial"/>
        </w:rPr>
        <w:t>Knowledge was evaluated using questions on insulin function, administration techniques, and the identification of insulin types.</w:t>
      </w:r>
    </w:p>
    <w:p w14:paraId="74DF4669" w14:textId="20A0DA96" w:rsidR="00801362" w:rsidRPr="008476DC" w:rsidRDefault="00801362" w:rsidP="008476DC">
      <w:pPr>
        <w:pStyle w:val="ListParagraph"/>
        <w:numPr>
          <w:ilvl w:val="0"/>
          <w:numId w:val="38"/>
        </w:numPr>
        <w:rPr>
          <w:rFonts w:eastAsia="Arial"/>
        </w:rPr>
      </w:pPr>
      <w:r w:rsidRPr="008476DC">
        <w:rPr>
          <w:rFonts w:eastAsia="Arial"/>
        </w:rPr>
        <w:t>Attitudes were assessed based on patients' and caregivers' perceptions and beliefs regarding the necessity and importance of insulin therapy.</w:t>
      </w:r>
    </w:p>
    <w:p w14:paraId="349D1D29" w14:textId="21AC964A" w:rsidR="00801362" w:rsidRPr="008476DC" w:rsidRDefault="00801362" w:rsidP="008476DC">
      <w:pPr>
        <w:pStyle w:val="ListParagraph"/>
        <w:numPr>
          <w:ilvl w:val="0"/>
          <w:numId w:val="38"/>
        </w:numPr>
        <w:rPr>
          <w:rFonts w:eastAsia="Arial"/>
        </w:rPr>
      </w:pPr>
      <w:r w:rsidRPr="008476DC">
        <w:rPr>
          <w:rFonts w:eastAsia="Arial"/>
        </w:rPr>
        <w:t>Practices were evaluated based on insulin injection techniques, frequency of insulin use, and adherence to prescribed insulin regimens.</w:t>
      </w:r>
    </w:p>
    <w:p w14:paraId="746B7CEB" w14:textId="0A748F15" w:rsidR="008B70D0" w:rsidRPr="008476DC" w:rsidRDefault="00801362" w:rsidP="008476DC">
      <w:pPr>
        <w:pStyle w:val="ListParagraph"/>
        <w:numPr>
          <w:ilvl w:val="0"/>
          <w:numId w:val="38"/>
        </w:numPr>
        <w:rPr>
          <w:rFonts w:eastAsia="Arial"/>
        </w:rPr>
      </w:pPr>
      <w:r w:rsidRPr="008476DC">
        <w:rPr>
          <w:rFonts w:eastAsia="Arial"/>
        </w:rPr>
        <w:t>The responses were scored on a five-point Likert scale, and mean scores were calculated for each category to assess overall KAP levels.</w:t>
      </w:r>
    </w:p>
    <w:p w14:paraId="7628FCDC" w14:textId="77777777" w:rsidR="00A56B7B" w:rsidRDefault="00A56B7B" w:rsidP="00801362">
      <w:pPr>
        <w:rPr>
          <w:rFonts w:eastAsia="Arial"/>
        </w:rPr>
      </w:pPr>
    </w:p>
    <w:p w14:paraId="467F6AB9" w14:textId="0CA21BC5" w:rsidR="00A56B7B" w:rsidRDefault="00A56B7B" w:rsidP="00A56B7B">
      <w:pPr>
        <w:rPr>
          <w:rFonts w:eastAsia="Arial"/>
          <w:b/>
          <w:bCs/>
          <w:sz w:val="22"/>
          <w:szCs w:val="22"/>
        </w:rPr>
      </w:pPr>
      <w:r w:rsidRPr="00A56B7B">
        <w:rPr>
          <w:rFonts w:eastAsia="Arial"/>
          <w:b/>
          <w:bCs/>
          <w:sz w:val="22"/>
          <w:szCs w:val="22"/>
        </w:rPr>
        <w:t>3.   RESULTS</w:t>
      </w:r>
    </w:p>
    <w:p w14:paraId="1D79731E" w14:textId="75922D15" w:rsidR="00A56B7B" w:rsidRDefault="00A56B7B" w:rsidP="00A56B7B">
      <w:pPr>
        <w:rPr>
          <w:rFonts w:eastAsia="Arial"/>
          <w:b/>
          <w:bCs/>
          <w:sz w:val="22"/>
          <w:szCs w:val="22"/>
        </w:rPr>
      </w:pPr>
      <w:r w:rsidRPr="00A56B7B">
        <w:rPr>
          <w:rFonts w:eastAsia="Arial"/>
        </w:rPr>
        <w:t>The study revealed concerning KAP results among the patients with T1DM. The overall mean KAP score was 1.46 on a 5-point scale, indicating generally low levels of knowledge, negative attitudes, and suboptimal practices</w:t>
      </w:r>
      <w:r w:rsidRPr="00A56B7B">
        <w:rPr>
          <w:rFonts w:eastAsia="Arial"/>
          <w:b/>
          <w:bCs/>
          <w:sz w:val="22"/>
          <w:szCs w:val="22"/>
        </w:rPr>
        <w:t>.</w:t>
      </w:r>
    </w:p>
    <w:p w14:paraId="15CD7974" w14:textId="499EE224" w:rsidR="00A56B7B" w:rsidRPr="001F01AB" w:rsidRDefault="00A56B7B" w:rsidP="001F01AB">
      <w:pPr>
        <w:pStyle w:val="ListParagraph"/>
        <w:numPr>
          <w:ilvl w:val="0"/>
          <w:numId w:val="40"/>
        </w:numPr>
        <w:rPr>
          <w:rFonts w:eastAsia="Arial"/>
        </w:rPr>
      </w:pPr>
      <w:r w:rsidRPr="001F01AB">
        <w:rPr>
          <w:rFonts w:eastAsia="Arial"/>
        </w:rPr>
        <w:t>Knowledge: 65% of patients had inadequate knowledge regarding insulin therapy, including misconceptions about the purpose of insulin and incorrect injection techniques.</w:t>
      </w:r>
    </w:p>
    <w:p w14:paraId="06B90BBE" w14:textId="41733ED5" w:rsidR="00A56B7B" w:rsidRPr="001F01AB" w:rsidRDefault="00A56B7B" w:rsidP="001F01AB">
      <w:pPr>
        <w:pStyle w:val="ListParagraph"/>
        <w:numPr>
          <w:ilvl w:val="0"/>
          <w:numId w:val="40"/>
        </w:numPr>
        <w:rPr>
          <w:rFonts w:eastAsia="Arial"/>
        </w:rPr>
      </w:pPr>
      <w:r w:rsidRPr="001F01AB">
        <w:rPr>
          <w:rFonts w:eastAsia="Arial"/>
        </w:rPr>
        <w:t>Attitude: 72% of patients expressed negative attitudes towards insulin therapy, including fears about side effects and a lack of trust in the necessity of lifelong treatment.</w:t>
      </w:r>
    </w:p>
    <w:p w14:paraId="04043F22" w14:textId="76A97890" w:rsidR="00A56B7B" w:rsidRPr="001F01AB" w:rsidRDefault="00A56B7B" w:rsidP="001F01AB">
      <w:pPr>
        <w:pStyle w:val="ListParagraph"/>
        <w:numPr>
          <w:ilvl w:val="0"/>
          <w:numId w:val="40"/>
        </w:numPr>
        <w:rPr>
          <w:rFonts w:eastAsia="Arial"/>
        </w:rPr>
      </w:pPr>
      <w:r w:rsidRPr="001F01AB">
        <w:rPr>
          <w:rFonts w:eastAsia="Arial"/>
        </w:rPr>
        <w:t>Practice: 68% of patients displayed suboptimal insulin administration practices, including irregular injection schedules and improper techniques.</w:t>
      </w:r>
    </w:p>
    <w:p w14:paraId="2A3ADE1E" w14:textId="31F6BD4A" w:rsidR="00A56B7B" w:rsidRPr="001F01AB" w:rsidRDefault="00A56B7B" w:rsidP="001F01AB">
      <w:pPr>
        <w:pStyle w:val="ListParagraph"/>
        <w:numPr>
          <w:ilvl w:val="0"/>
          <w:numId w:val="40"/>
        </w:numPr>
        <w:rPr>
          <w:rFonts w:eastAsia="Arial"/>
        </w:rPr>
      </w:pPr>
      <w:r w:rsidRPr="001F01AB">
        <w:rPr>
          <w:rFonts w:eastAsia="Arial"/>
        </w:rPr>
        <w:t>In contrast, caregivers who were responsible for administering insulin to patients exhibited moderate KAP levels, with 42% showing moderate knowledge, 50% demonstrating neutral attitudes, and 55% practicing adequate insulin administration techniques.</w:t>
      </w:r>
    </w:p>
    <w:p w14:paraId="27EC4230" w14:textId="77777777" w:rsidR="00A56B7B" w:rsidRDefault="00A56B7B" w:rsidP="00A56B7B">
      <w:pPr>
        <w:rPr>
          <w:rFonts w:eastAsia="Arial"/>
        </w:rPr>
      </w:pPr>
    </w:p>
    <w:p w14:paraId="2DB3E18A" w14:textId="77777777" w:rsidR="00A56B7B" w:rsidRDefault="00A56B7B" w:rsidP="00A56B7B">
      <w:pPr>
        <w:rPr>
          <w:rFonts w:eastAsia="Arial"/>
        </w:rPr>
      </w:pPr>
    </w:p>
    <w:p w14:paraId="68E02427" w14:textId="77777777" w:rsidR="00A56B7B" w:rsidRDefault="00A56B7B" w:rsidP="00A56B7B">
      <w:pPr>
        <w:rPr>
          <w:rFonts w:eastAsia="Arial"/>
        </w:rPr>
      </w:pPr>
    </w:p>
    <w:p w14:paraId="26A1223A" w14:textId="1D48FE40" w:rsidR="00A56B7B" w:rsidRPr="001F01AB" w:rsidRDefault="00A56B7B" w:rsidP="00A56B7B">
      <w:pPr>
        <w:tabs>
          <w:tab w:val="left" w:pos="2798"/>
        </w:tabs>
        <w:rPr>
          <w:rFonts w:eastAsia="Arial"/>
          <w:sz w:val="16"/>
          <w:szCs w:val="16"/>
        </w:rPr>
      </w:pPr>
      <w:r w:rsidRPr="006B7C45">
        <w:rPr>
          <w:rFonts w:eastAsia="Arial"/>
          <w:sz w:val="16"/>
          <w:szCs w:val="16"/>
        </w:rPr>
        <w:tab/>
      </w:r>
      <w:proofErr w:type="gramStart"/>
      <w:r w:rsidRPr="001F01AB">
        <w:rPr>
          <w:rFonts w:eastAsia="Arial"/>
          <w:sz w:val="16"/>
          <w:szCs w:val="16"/>
        </w:rPr>
        <w:t>Table</w:t>
      </w:r>
      <w:r w:rsidR="006B7C45" w:rsidRPr="001F01AB">
        <w:rPr>
          <w:rFonts w:eastAsia="Arial"/>
          <w:sz w:val="16"/>
          <w:szCs w:val="16"/>
        </w:rPr>
        <w:t xml:space="preserve"> Ⅰ.</w:t>
      </w:r>
      <w:proofErr w:type="gramEnd"/>
      <w:r w:rsidRPr="001F01AB">
        <w:rPr>
          <w:rFonts w:eastAsia="Arial"/>
          <w:sz w:val="16"/>
          <w:szCs w:val="16"/>
        </w:rPr>
        <w:t xml:space="preserve"> Distribution of KAP Scores </w:t>
      </w:r>
      <w:proofErr w:type="gramStart"/>
      <w:r w:rsidRPr="001F01AB">
        <w:rPr>
          <w:rFonts w:eastAsia="Arial"/>
          <w:sz w:val="16"/>
          <w:szCs w:val="16"/>
        </w:rPr>
        <w:t>Among</w:t>
      </w:r>
      <w:proofErr w:type="gramEnd"/>
      <w:r w:rsidRPr="001F01AB">
        <w:rPr>
          <w:rFonts w:eastAsia="Arial"/>
          <w:sz w:val="16"/>
          <w:szCs w:val="16"/>
        </w:rPr>
        <w:t xml:space="preserve"> Patients and Caregivers</w:t>
      </w:r>
    </w:p>
    <w:tbl>
      <w:tblPr>
        <w:tblStyle w:val="TableGrid0"/>
        <w:tblW w:w="0" w:type="auto"/>
        <w:jc w:val="center"/>
        <w:tblInd w:w="503" w:type="dxa"/>
        <w:tblLook w:val="04A0" w:firstRow="1" w:lastRow="0" w:firstColumn="1" w:lastColumn="0" w:noHBand="0" w:noVBand="1"/>
      </w:tblPr>
      <w:tblGrid>
        <w:gridCol w:w="2191"/>
        <w:gridCol w:w="2191"/>
        <w:gridCol w:w="2192"/>
        <w:gridCol w:w="2192"/>
      </w:tblGrid>
      <w:tr w:rsidR="00A56B7B" w:rsidRPr="002A7259" w14:paraId="4426D852" w14:textId="77777777" w:rsidTr="00A56B7B">
        <w:trPr>
          <w:trHeight w:val="247"/>
          <w:jc w:val="center"/>
        </w:trPr>
        <w:tc>
          <w:tcPr>
            <w:tcW w:w="2191" w:type="dxa"/>
          </w:tcPr>
          <w:p w14:paraId="18852E26"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 xml:space="preserve">Category </w:t>
            </w:r>
          </w:p>
        </w:tc>
        <w:tc>
          <w:tcPr>
            <w:tcW w:w="2191" w:type="dxa"/>
          </w:tcPr>
          <w:p w14:paraId="48482E9D"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Patient %</w:t>
            </w:r>
          </w:p>
        </w:tc>
        <w:tc>
          <w:tcPr>
            <w:tcW w:w="2192" w:type="dxa"/>
          </w:tcPr>
          <w:p w14:paraId="14310977"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Caregivers %</w:t>
            </w:r>
          </w:p>
        </w:tc>
        <w:tc>
          <w:tcPr>
            <w:tcW w:w="2192" w:type="dxa"/>
          </w:tcPr>
          <w:p w14:paraId="3844D832"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Mean Score(M.S)</w:t>
            </w:r>
          </w:p>
        </w:tc>
      </w:tr>
      <w:tr w:rsidR="00A56B7B" w:rsidRPr="002A7259" w14:paraId="7C10448B" w14:textId="77777777" w:rsidTr="00A56B7B">
        <w:trPr>
          <w:trHeight w:val="247"/>
          <w:jc w:val="center"/>
        </w:trPr>
        <w:tc>
          <w:tcPr>
            <w:tcW w:w="2191" w:type="dxa"/>
          </w:tcPr>
          <w:p w14:paraId="214599AF"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Knowledge</w:t>
            </w:r>
          </w:p>
        </w:tc>
        <w:tc>
          <w:tcPr>
            <w:tcW w:w="2191" w:type="dxa"/>
          </w:tcPr>
          <w:p w14:paraId="06258487"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Inadequate 65%</w:t>
            </w:r>
          </w:p>
        </w:tc>
        <w:tc>
          <w:tcPr>
            <w:tcW w:w="2192" w:type="dxa"/>
          </w:tcPr>
          <w:p w14:paraId="6859DA20"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Moderate 42%</w:t>
            </w:r>
          </w:p>
        </w:tc>
        <w:tc>
          <w:tcPr>
            <w:tcW w:w="2192" w:type="dxa"/>
          </w:tcPr>
          <w:p w14:paraId="5A11E879"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1.5</w:t>
            </w:r>
          </w:p>
        </w:tc>
      </w:tr>
      <w:tr w:rsidR="00A56B7B" w:rsidRPr="002A7259" w14:paraId="5EDB25ED" w14:textId="77777777" w:rsidTr="00A56B7B">
        <w:trPr>
          <w:trHeight w:val="247"/>
          <w:jc w:val="center"/>
        </w:trPr>
        <w:tc>
          <w:tcPr>
            <w:tcW w:w="2191" w:type="dxa"/>
          </w:tcPr>
          <w:p w14:paraId="1722797E"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Attitude</w:t>
            </w:r>
          </w:p>
        </w:tc>
        <w:tc>
          <w:tcPr>
            <w:tcW w:w="2191" w:type="dxa"/>
          </w:tcPr>
          <w:p w14:paraId="209B86F4"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Negative 72%</w:t>
            </w:r>
          </w:p>
        </w:tc>
        <w:tc>
          <w:tcPr>
            <w:tcW w:w="2192" w:type="dxa"/>
          </w:tcPr>
          <w:p w14:paraId="0995109E"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Neutral 50%</w:t>
            </w:r>
          </w:p>
        </w:tc>
        <w:tc>
          <w:tcPr>
            <w:tcW w:w="2192" w:type="dxa"/>
          </w:tcPr>
          <w:p w14:paraId="36AB25EF"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1.4</w:t>
            </w:r>
          </w:p>
        </w:tc>
      </w:tr>
      <w:tr w:rsidR="00A56B7B" w:rsidRPr="002A7259" w14:paraId="4CCB3792" w14:textId="77777777" w:rsidTr="00A56B7B">
        <w:trPr>
          <w:trHeight w:val="247"/>
          <w:jc w:val="center"/>
        </w:trPr>
        <w:tc>
          <w:tcPr>
            <w:tcW w:w="2191" w:type="dxa"/>
          </w:tcPr>
          <w:p w14:paraId="184AE8B7"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Practice</w:t>
            </w:r>
          </w:p>
        </w:tc>
        <w:tc>
          <w:tcPr>
            <w:tcW w:w="2191" w:type="dxa"/>
          </w:tcPr>
          <w:p w14:paraId="0CCE7260"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Suboptimal  68%</w:t>
            </w:r>
          </w:p>
        </w:tc>
        <w:tc>
          <w:tcPr>
            <w:tcW w:w="2192" w:type="dxa"/>
          </w:tcPr>
          <w:p w14:paraId="670681B3"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Adequate 55%</w:t>
            </w:r>
          </w:p>
        </w:tc>
        <w:tc>
          <w:tcPr>
            <w:tcW w:w="2192" w:type="dxa"/>
          </w:tcPr>
          <w:p w14:paraId="7FAA8C09"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1.5</w:t>
            </w:r>
          </w:p>
        </w:tc>
      </w:tr>
      <w:tr w:rsidR="00A56B7B" w:rsidRPr="002A7259" w14:paraId="33D25AA5" w14:textId="77777777" w:rsidTr="00A56B7B">
        <w:trPr>
          <w:trHeight w:val="247"/>
          <w:jc w:val="center"/>
        </w:trPr>
        <w:tc>
          <w:tcPr>
            <w:tcW w:w="2191" w:type="dxa"/>
          </w:tcPr>
          <w:p w14:paraId="2B1FB116"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 xml:space="preserve">Overall KAP </w:t>
            </w:r>
          </w:p>
        </w:tc>
        <w:tc>
          <w:tcPr>
            <w:tcW w:w="2191" w:type="dxa"/>
          </w:tcPr>
          <w:p w14:paraId="79D952AF"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Low 70%</w:t>
            </w:r>
          </w:p>
        </w:tc>
        <w:tc>
          <w:tcPr>
            <w:tcW w:w="2192" w:type="dxa"/>
          </w:tcPr>
          <w:p w14:paraId="2145FE89"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Moderate 50%</w:t>
            </w:r>
          </w:p>
        </w:tc>
        <w:tc>
          <w:tcPr>
            <w:tcW w:w="2192" w:type="dxa"/>
          </w:tcPr>
          <w:p w14:paraId="15428418" w14:textId="77777777" w:rsidR="00A56B7B" w:rsidRPr="00BA757B" w:rsidRDefault="00A56B7B" w:rsidP="00CC24AB">
            <w:pPr>
              <w:rPr>
                <w:rFonts w:asciiTheme="majorBidi" w:hAnsiTheme="majorBidi" w:cstheme="majorBidi"/>
                <w:sz w:val="16"/>
                <w:szCs w:val="16"/>
              </w:rPr>
            </w:pPr>
            <w:r w:rsidRPr="00BA757B">
              <w:rPr>
                <w:rFonts w:asciiTheme="majorBidi" w:hAnsiTheme="majorBidi" w:cstheme="majorBidi"/>
                <w:sz w:val="16"/>
                <w:szCs w:val="16"/>
              </w:rPr>
              <w:t>1.46</w:t>
            </w:r>
          </w:p>
        </w:tc>
      </w:tr>
    </w:tbl>
    <w:p w14:paraId="0EAACCB6" w14:textId="77777777" w:rsidR="00A56B7B" w:rsidRDefault="00A56B7B" w:rsidP="00A56B7B">
      <w:pPr>
        <w:rPr>
          <w:rFonts w:eastAsia="Arial"/>
        </w:rPr>
      </w:pPr>
    </w:p>
    <w:p w14:paraId="497C1A17" w14:textId="77777777" w:rsidR="00A56B7B" w:rsidRDefault="00A56B7B" w:rsidP="00A56B7B">
      <w:pPr>
        <w:rPr>
          <w:rFonts w:eastAsia="Arial"/>
        </w:rPr>
      </w:pPr>
    </w:p>
    <w:p w14:paraId="59C9E947" w14:textId="77777777" w:rsidR="00A56B7B" w:rsidRDefault="00A56B7B" w:rsidP="00A56B7B">
      <w:pPr>
        <w:rPr>
          <w:rFonts w:eastAsia="Arial"/>
        </w:rPr>
      </w:pPr>
    </w:p>
    <w:p w14:paraId="32071F7C" w14:textId="77777777" w:rsidR="00A56B7B" w:rsidRDefault="00A56B7B" w:rsidP="00A56B7B">
      <w:pPr>
        <w:rPr>
          <w:rFonts w:eastAsia="Arial"/>
        </w:rPr>
      </w:pPr>
    </w:p>
    <w:p w14:paraId="564FB7F4" w14:textId="77777777" w:rsidR="00A56B7B" w:rsidRDefault="00A56B7B" w:rsidP="00A56B7B">
      <w:pPr>
        <w:rPr>
          <w:rFonts w:eastAsia="Arial"/>
        </w:rPr>
      </w:pPr>
    </w:p>
    <w:p w14:paraId="4B50F8A9" w14:textId="77777777" w:rsidR="00A56B7B" w:rsidRDefault="00A56B7B" w:rsidP="00A56B7B">
      <w:pPr>
        <w:rPr>
          <w:rFonts w:eastAsia="Arial"/>
        </w:rPr>
      </w:pPr>
    </w:p>
    <w:p w14:paraId="7C60503F" w14:textId="6CEB156E" w:rsidR="00A56B7B" w:rsidRDefault="00A56B7B" w:rsidP="00A56B7B">
      <w:pPr>
        <w:jc w:val="center"/>
        <w:rPr>
          <w:rFonts w:eastAsia="Arial"/>
        </w:rPr>
      </w:pPr>
      <w:r w:rsidRPr="002A7259">
        <w:rPr>
          <w:rFonts w:asciiTheme="majorBidi" w:hAnsiTheme="majorBidi" w:cstheme="majorBidi"/>
          <w:noProof/>
        </w:rPr>
        <w:lastRenderedPageBreak/>
        <w:drawing>
          <wp:inline distT="0" distB="0" distL="0" distR="0" wp14:anchorId="11A201BE" wp14:editId="783B304E">
            <wp:extent cx="4927119" cy="2147888"/>
            <wp:effectExtent l="0" t="0" r="6985" b="5080"/>
            <wp:docPr id="1734827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932995" cy="2150450"/>
                    </a:xfrm>
                    <a:prstGeom prst="rect">
                      <a:avLst/>
                    </a:prstGeom>
                    <a:noFill/>
                  </pic:spPr>
                </pic:pic>
              </a:graphicData>
            </a:graphic>
          </wp:inline>
        </w:drawing>
      </w:r>
    </w:p>
    <w:p w14:paraId="15F36D76" w14:textId="043B093F" w:rsidR="00A56B7B" w:rsidRPr="006B7C45" w:rsidRDefault="00A56B7B" w:rsidP="00BA757B">
      <w:pPr>
        <w:tabs>
          <w:tab w:val="left" w:pos="3728"/>
        </w:tabs>
        <w:jc w:val="center"/>
        <w:rPr>
          <w:rFonts w:eastAsia="Arial"/>
          <w:sz w:val="16"/>
          <w:szCs w:val="16"/>
        </w:rPr>
      </w:pPr>
      <w:r w:rsidRPr="006B7C45">
        <w:rPr>
          <w:rFonts w:eastAsia="Arial"/>
          <w:sz w:val="16"/>
          <w:szCs w:val="16"/>
        </w:rPr>
        <w:t xml:space="preserve">      Fig.</w:t>
      </w:r>
      <w:r w:rsidR="00BA757B">
        <w:rPr>
          <w:rFonts w:eastAsia="Arial"/>
          <w:sz w:val="16"/>
          <w:szCs w:val="16"/>
        </w:rPr>
        <w:t>1</w:t>
      </w:r>
      <w:r w:rsidRPr="006B7C45">
        <w:rPr>
          <w:rFonts w:eastAsia="Arial"/>
          <w:sz w:val="16"/>
          <w:szCs w:val="16"/>
        </w:rPr>
        <w:t xml:space="preserve"> Bar Chart Depicting KAP Levels Among Patients and Caregivers</w:t>
      </w:r>
      <w:r w:rsidR="006B7C45">
        <w:rPr>
          <w:rFonts w:eastAsia="Arial"/>
          <w:sz w:val="16"/>
          <w:szCs w:val="16"/>
        </w:rPr>
        <w:t>.</w:t>
      </w:r>
    </w:p>
    <w:p w14:paraId="36BB02FD" w14:textId="77777777" w:rsidR="00A56B7B" w:rsidRDefault="00A56B7B" w:rsidP="00A56B7B">
      <w:pPr>
        <w:rPr>
          <w:rFonts w:eastAsia="Arial"/>
        </w:rPr>
      </w:pPr>
    </w:p>
    <w:p w14:paraId="3F6E6373" w14:textId="77777777" w:rsidR="00A56B7B" w:rsidRDefault="00A56B7B" w:rsidP="00A56B7B">
      <w:pPr>
        <w:rPr>
          <w:rFonts w:eastAsia="Arial"/>
        </w:rPr>
      </w:pPr>
    </w:p>
    <w:p w14:paraId="08EA0DD2" w14:textId="6AA6B038" w:rsidR="00A56B7B" w:rsidRDefault="000F405E" w:rsidP="006B7C45">
      <w:pPr>
        <w:rPr>
          <w:rFonts w:eastAsia="Arial"/>
          <w:b/>
          <w:bCs/>
          <w:sz w:val="22"/>
          <w:szCs w:val="22"/>
        </w:rPr>
      </w:pPr>
      <w:r w:rsidRPr="006B7C45">
        <w:rPr>
          <w:rFonts w:eastAsia="Arial"/>
          <w:b/>
          <w:bCs/>
          <w:sz w:val="22"/>
          <w:szCs w:val="22"/>
        </w:rPr>
        <w:t>4. D</w:t>
      </w:r>
      <w:r w:rsidR="006B7C45">
        <w:rPr>
          <w:rFonts w:eastAsia="Arial"/>
          <w:b/>
          <w:bCs/>
          <w:sz w:val="22"/>
          <w:szCs w:val="22"/>
        </w:rPr>
        <w:t>ISCUSSION</w:t>
      </w:r>
    </w:p>
    <w:p w14:paraId="17C353BA" w14:textId="77777777" w:rsidR="006B7C45" w:rsidRPr="006B7C45" w:rsidRDefault="006B7C45" w:rsidP="006B7C45">
      <w:pPr>
        <w:rPr>
          <w:rFonts w:eastAsia="Arial"/>
          <w:b/>
          <w:bCs/>
          <w:sz w:val="22"/>
          <w:szCs w:val="22"/>
        </w:rPr>
      </w:pPr>
    </w:p>
    <w:p w14:paraId="28172F64" w14:textId="77777777" w:rsidR="00C31A0E" w:rsidRDefault="000F405E" w:rsidP="00C31A0E">
      <w:pPr>
        <w:rPr>
          <w:rFonts w:eastAsia="Arial"/>
        </w:rPr>
      </w:pPr>
      <w:r w:rsidRPr="000F405E">
        <w:rPr>
          <w:rFonts w:eastAsia="Arial"/>
        </w:rPr>
        <w:t>The findings of this study highlight significant gaps in the KAP levels related to insulin use among patients with T1DM. Inadequate knowledge and negative attitudes are major barriers to optimal diabetes management and can directly contribute to poor adherence to insulin regimens. The high percentage of patients demonstrating suboptimal practices, such as improper injection techniques and irregular insulin use, indicates a critical need for educational interventions.</w:t>
      </w:r>
    </w:p>
    <w:p w14:paraId="681C0E0E" w14:textId="0227D01C" w:rsidR="000F405E" w:rsidRPr="000F405E" w:rsidRDefault="00C31A0E" w:rsidP="00C31A0E">
      <w:pPr>
        <w:rPr>
          <w:rFonts w:eastAsia="Arial"/>
        </w:rPr>
      </w:pPr>
      <w:r>
        <w:rPr>
          <w:rFonts w:eastAsia="Arial"/>
        </w:rPr>
        <w:t>[</w:t>
      </w:r>
      <w:r w:rsidR="000F405E" w:rsidRPr="000F405E">
        <w:rPr>
          <w:rFonts w:eastAsia="Arial"/>
        </w:rPr>
        <w:t>2</w:t>
      </w:r>
      <w:r w:rsidR="006B7C45">
        <w:rPr>
          <w:rFonts w:eastAsia="Arial"/>
        </w:rPr>
        <w:t>][</w:t>
      </w:r>
      <w:r w:rsidR="000F405E" w:rsidRPr="000F405E">
        <w:rPr>
          <w:rFonts w:eastAsia="Arial"/>
        </w:rPr>
        <w:t>5</w:t>
      </w:r>
      <w:r>
        <w:rPr>
          <w:rFonts w:eastAsia="Arial"/>
        </w:rPr>
        <w:t>-</w:t>
      </w:r>
      <w:r w:rsidR="000F405E" w:rsidRPr="000F405E">
        <w:rPr>
          <w:rFonts w:eastAsia="Arial"/>
        </w:rPr>
        <w:t>6</w:t>
      </w:r>
      <w:r>
        <w:rPr>
          <w:rFonts w:eastAsia="Arial"/>
        </w:rPr>
        <w:t>]</w:t>
      </w:r>
    </w:p>
    <w:p w14:paraId="175420E8" w14:textId="65AECF28" w:rsidR="000F405E" w:rsidRPr="000F405E" w:rsidRDefault="000F405E" w:rsidP="00C31A0E">
      <w:pPr>
        <w:rPr>
          <w:rFonts w:eastAsia="Arial"/>
        </w:rPr>
      </w:pPr>
      <w:r w:rsidRPr="000F405E">
        <w:rPr>
          <w:rFonts w:eastAsia="Arial"/>
        </w:rPr>
        <w:t>Caregivers' moderate KAP levels suggest that although they play a key role in diabetes management, there is still a gap in their understanding and practical application of insulin therapy. This underscores the importance of including caregivers in educational programs to improve their competency in managing T1DM. Additionally, the negative attitudes toward insulin therapy observed in patients may reflect a broader societal stigma or lack of awareness about the disease, which can further hinder treatment adherence</w:t>
      </w:r>
      <w:proofErr w:type="gramStart"/>
      <w:r w:rsidRPr="000F405E">
        <w:rPr>
          <w:rFonts w:eastAsia="Arial"/>
        </w:rPr>
        <w:t>.</w:t>
      </w:r>
      <w:r w:rsidR="00C31A0E">
        <w:rPr>
          <w:rFonts w:eastAsia="Arial"/>
        </w:rPr>
        <w:t>[</w:t>
      </w:r>
      <w:proofErr w:type="gramEnd"/>
      <w:r w:rsidRPr="000F405E">
        <w:rPr>
          <w:rFonts w:eastAsia="Arial"/>
        </w:rPr>
        <w:t>7</w:t>
      </w:r>
      <w:r w:rsidR="00C31A0E">
        <w:rPr>
          <w:rFonts w:eastAsia="Arial"/>
        </w:rPr>
        <w:t>-</w:t>
      </w:r>
      <w:r w:rsidRPr="000F405E">
        <w:rPr>
          <w:rFonts w:eastAsia="Arial"/>
        </w:rPr>
        <w:t>9</w:t>
      </w:r>
      <w:r w:rsidR="00C31A0E">
        <w:rPr>
          <w:rFonts w:eastAsia="Arial"/>
        </w:rPr>
        <w:t>]</w:t>
      </w:r>
    </w:p>
    <w:p w14:paraId="4BA9E209" w14:textId="7F91A306" w:rsidR="000F405E" w:rsidRDefault="000F405E" w:rsidP="00C31A0E">
      <w:pPr>
        <w:rPr>
          <w:rFonts w:eastAsia="Arial"/>
        </w:rPr>
      </w:pPr>
      <w:r w:rsidRPr="000F405E">
        <w:rPr>
          <w:rFonts w:eastAsia="Arial"/>
        </w:rPr>
        <w:t>The study's results are consistent with previous studies in other regions, which have also shown that insufficient education on diabetes management leads to poor clinical outcomes. Therefore, addressing these KAP deficiencies through targeted interventions, such as diabetes education workshops and hands-on training sessions, could significantly improve insulin use and patient outcomes</w:t>
      </w:r>
      <w:proofErr w:type="gramStart"/>
      <w:r w:rsidRPr="000F405E">
        <w:rPr>
          <w:rFonts w:eastAsia="Arial"/>
        </w:rPr>
        <w:t>.</w:t>
      </w:r>
      <w:r w:rsidR="00C31A0E">
        <w:rPr>
          <w:rFonts w:eastAsia="Arial"/>
        </w:rPr>
        <w:t>[</w:t>
      </w:r>
      <w:proofErr w:type="gramEnd"/>
      <w:r w:rsidRPr="000F405E">
        <w:rPr>
          <w:rFonts w:eastAsia="Arial"/>
        </w:rPr>
        <w:t>10</w:t>
      </w:r>
      <w:r w:rsidR="00C31A0E">
        <w:rPr>
          <w:rFonts w:eastAsia="Arial"/>
        </w:rPr>
        <w:t>-</w:t>
      </w:r>
      <w:r w:rsidRPr="000F405E">
        <w:rPr>
          <w:rFonts w:eastAsia="Arial"/>
        </w:rPr>
        <w:t>12</w:t>
      </w:r>
      <w:r w:rsidR="00C31A0E">
        <w:rPr>
          <w:rFonts w:eastAsia="Arial"/>
        </w:rPr>
        <w:t>]</w:t>
      </w:r>
    </w:p>
    <w:p w14:paraId="533DE4F8" w14:textId="77777777" w:rsidR="000F405E" w:rsidRPr="00C31A0E" w:rsidRDefault="000F405E" w:rsidP="000F405E">
      <w:pPr>
        <w:rPr>
          <w:rFonts w:eastAsia="Arial"/>
          <w:b/>
          <w:bCs/>
          <w:sz w:val="22"/>
          <w:szCs w:val="22"/>
        </w:rPr>
      </w:pPr>
    </w:p>
    <w:p w14:paraId="10B42945" w14:textId="363FE407" w:rsidR="000F405E" w:rsidRPr="00C31A0E" w:rsidRDefault="000F405E" w:rsidP="00C31A0E">
      <w:pPr>
        <w:rPr>
          <w:rFonts w:eastAsia="Arial"/>
          <w:b/>
          <w:bCs/>
          <w:sz w:val="22"/>
          <w:szCs w:val="22"/>
        </w:rPr>
      </w:pPr>
      <w:r w:rsidRPr="00C31A0E">
        <w:rPr>
          <w:rFonts w:eastAsia="Arial"/>
          <w:b/>
          <w:bCs/>
          <w:sz w:val="22"/>
          <w:szCs w:val="22"/>
        </w:rPr>
        <w:t>5. C</w:t>
      </w:r>
      <w:r w:rsidR="00C31A0E">
        <w:rPr>
          <w:rFonts w:eastAsia="Arial"/>
          <w:b/>
          <w:bCs/>
          <w:sz w:val="22"/>
          <w:szCs w:val="22"/>
        </w:rPr>
        <w:t>ONCLUSIONS</w:t>
      </w:r>
      <w:r w:rsidRPr="00C31A0E">
        <w:rPr>
          <w:rFonts w:eastAsia="Arial"/>
          <w:b/>
          <w:bCs/>
          <w:sz w:val="22"/>
          <w:szCs w:val="22"/>
        </w:rPr>
        <w:t xml:space="preserve"> </w:t>
      </w:r>
      <w:r w:rsidR="00D2530C">
        <w:rPr>
          <w:rFonts w:eastAsia="Arial"/>
          <w:b/>
          <w:bCs/>
          <w:sz w:val="22"/>
          <w:szCs w:val="22"/>
        </w:rPr>
        <w:t>and</w:t>
      </w:r>
      <w:r w:rsidR="00D2530C" w:rsidRPr="00C31A0E">
        <w:rPr>
          <w:rFonts w:eastAsia="Arial"/>
          <w:b/>
          <w:bCs/>
          <w:sz w:val="22"/>
          <w:szCs w:val="22"/>
        </w:rPr>
        <w:t xml:space="preserve"> </w:t>
      </w:r>
      <w:r w:rsidRPr="00C31A0E">
        <w:rPr>
          <w:rFonts w:eastAsia="Arial"/>
          <w:b/>
          <w:bCs/>
          <w:sz w:val="22"/>
          <w:szCs w:val="22"/>
        </w:rPr>
        <w:t>R</w:t>
      </w:r>
      <w:r w:rsidR="00C31A0E">
        <w:rPr>
          <w:rFonts w:eastAsia="Arial"/>
          <w:b/>
          <w:bCs/>
          <w:sz w:val="22"/>
          <w:szCs w:val="22"/>
        </w:rPr>
        <w:t>ECOMMENDATIONS</w:t>
      </w:r>
    </w:p>
    <w:p w14:paraId="1620D901" w14:textId="77777777" w:rsidR="00A56B7B" w:rsidRDefault="00A56B7B" w:rsidP="00A56B7B">
      <w:pPr>
        <w:rPr>
          <w:rFonts w:eastAsia="Arial"/>
        </w:rPr>
      </w:pPr>
    </w:p>
    <w:p w14:paraId="0531B92F" w14:textId="1AB7E587" w:rsidR="00A56B7B" w:rsidRDefault="000F405E" w:rsidP="00A56B7B">
      <w:pPr>
        <w:rPr>
          <w:rFonts w:eastAsia="Arial"/>
        </w:rPr>
      </w:pPr>
      <w:r w:rsidRPr="000F405E">
        <w:rPr>
          <w:rFonts w:eastAsia="Arial"/>
        </w:rPr>
        <w:t>This study highlights a critical gap in the knowledge, attitudes, and practices (KAP) regarding insulin therapy among patients with Type 1 Diabetes Mellitus (T1DM) and their caregivers. The findings indicate a pressing need for targeted interventions aimed at enhancing patients' understanding of insulin’s essential role in managing their condition, as well as the proper administration techniques. Inadequate knowledge and poor practices, particularly in the areas of insulin usage, can contribute to severe complications such as hypoglycemia, diabetic ketoacidosis, and long-term organ damage. Improving these KAP levels is crucial not only for reducing these risks but also for improving overall treatment adherence and health outcomes for both patients and caregivers.</w:t>
      </w:r>
    </w:p>
    <w:p w14:paraId="1BED21FE" w14:textId="77777777" w:rsidR="000F405E" w:rsidRDefault="000F405E" w:rsidP="00A56B7B">
      <w:pPr>
        <w:rPr>
          <w:rFonts w:eastAsia="Arial"/>
        </w:rPr>
      </w:pPr>
    </w:p>
    <w:p w14:paraId="733DDEB8" w14:textId="3D66F097" w:rsidR="000F405E" w:rsidRDefault="000F405E" w:rsidP="00A56B7B">
      <w:pPr>
        <w:rPr>
          <w:rFonts w:eastAsia="Arial"/>
        </w:rPr>
      </w:pPr>
      <w:r w:rsidRPr="000F405E">
        <w:rPr>
          <w:rFonts w:eastAsia="Arial"/>
        </w:rPr>
        <w:t>To address these issues effectively, we propose the following comprehensive recommendations:</w:t>
      </w:r>
    </w:p>
    <w:p w14:paraId="108579D3" w14:textId="77777777" w:rsidR="000F405E" w:rsidRPr="000F405E" w:rsidRDefault="000F405E" w:rsidP="00B15EDF">
      <w:pPr>
        <w:numPr>
          <w:ilvl w:val="0"/>
          <w:numId w:val="42"/>
        </w:numPr>
        <w:spacing w:before="100" w:beforeAutospacing="1" w:after="100" w:afterAutospacing="1" w:line="259" w:lineRule="auto"/>
      </w:pPr>
      <w:r w:rsidRPr="000F405E">
        <w:rPr>
          <w:b/>
          <w:bCs/>
        </w:rPr>
        <w:t>Implementing Comprehensive Educational Programs:</w:t>
      </w:r>
      <w:r w:rsidRPr="000F405E">
        <w:t xml:space="preserve"> It is essential to design and implement multifaceted educational programs that cater to both patients and their caregivers. These programs should provide in-depth information about the pathophysiology of T1DM, the role of insulin in disease management, and the potential consequences of improper insulin use. These sessions should be conducted in diabetes centers and hospitals, where patients and caregivers can receive personalized instruction and ongoing support.</w:t>
      </w:r>
    </w:p>
    <w:p w14:paraId="6B9F4494" w14:textId="77777777" w:rsidR="000F405E" w:rsidRPr="000F405E" w:rsidRDefault="000F405E" w:rsidP="00B15EDF">
      <w:pPr>
        <w:numPr>
          <w:ilvl w:val="0"/>
          <w:numId w:val="42"/>
        </w:numPr>
        <w:spacing w:before="100" w:beforeAutospacing="1" w:after="100" w:afterAutospacing="1" w:line="259" w:lineRule="auto"/>
      </w:pPr>
      <w:r w:rsidRPr="000F405E">
        <w:rPr>
          <w:b/>
          <w:bCs/>
        </w:rPr>
        <w:t>Developing User-Friendly Educational Materials:</w:t>
      </w:r>
      <w:r w:rsidRPr="000F405E">
        <w:t xml:space="preserve"> The creation of easy-to-understand educational resources is </w:t>
      </w:r>
      <w:proofErr w:type="gramStart"/>
      <w:r w:rsidRPr="000F405E">
        <w:t>key</w:t>
      </w:r>
      <w:proofErr w:type="gramEnd"/>
      <w:r w:rsidRPr="000F405E">
        <w:t xml:space="preserve">. Visual aids, such as infographics, videos, and step-by-step guides, alongside practical demonstrations, can significantly improve the retention of information. These materials should focus on the correct insulin </w:t>
      </w:r>
      <w:r w:rsidRPr="000F405E">
        <w:lastRenderedPageBreak/>
        <w:t>administration techniques, recognition of hypo- and hyperglycemic symptoms, and the importance of consistent insulin therapy. Tailoring the content to the literacy levels of patients and caregivers will further enhance comprehension and application of knowledge.</w:t>
      </w:r>
    </w:p>
    <w:p w14:paraId="5816D30E" w14:textId="77777777" w:rsidR="000F405E" w:rsidRPr="000F405E" w:rsidRDefault="000F405E" w:rsidP="00B15EDF">
      <w:pPr>
        <w:numPr>
          <w:ilvl w:val="0"/>
          <w:numId w:val="42"/>
        </w:numPr>
        <w:spacing w:before="100" w:beforeAutospacing="1" w:after="100" w:afterAutospacing="1" w:line="259" w:lineRule="auto"/>
      </w:pPr>
      <w:r w:rsidRPr="000F405E">
        <w:rPr>
          <w:b/>
          <w:bCs/>
        </w:rPr>
        <w:t>Fostering a Collaborative Healthcare Approach:</w:t>
      </w:r>
      <w:r w:rsidRPr="000F405E">
        <w:t xml:space="preserve"> A team-based approach involving healthcare providers, patients, and caregivers is vital to ensure continuous support in managing T1DM. Healthcare providers should maintain regular communication with patients and caregivers to monitor their progress, address concerns, and reinforce key educational points. Collaborative efforts will help ensure that patients and caregivers feel supported, empowered, and confident in their ability to manage insulin therapy effectively.</w:t>
      </w:r>
    </w:p>
    <w:p w14:paraId="7EABB27F" w14:textId="77777777" w:rsidR="000F405E" w:rsidRPr="000F405E" w:rsidRDefault="000F405E" w:rsidP="00B15EDF">
      <w:pPr>
        <w:numPr>
          <w:ilvl w:val="0"/>
          <w:numId w:val="42"/>
        </w:numPr>
        <w:spacing w:before="100" w:beforeAutospacing="1" w:after="100" w:afterAutospacing="1" w:line="259" w:lineRule="auto"/>
      </w:pPr>
      <w:r w:rsidRPr="000F405E">
        <w:rPr>
          <w:b/>
          <w:bCs/>
        </w:rPr>
        <w:t>Addressing Negative Attitudes Toward Insulin Therapy:</w:t>
      </w:r>
      <w:r w:rsidRPr="000F405E">
        <w:t xml:space="preserve"> Many patients and caregivers may harbor negative attitudes toward insulin therapy, which can lead to poor adherence. Efforts should be made to address these concerns by providing education on the crucial role of insulin in preventing long-term complications and enhancing the patient’s quality of life. Highlighting success stories and emphasizing the life-saving benefits of insulin could help alter these negative perceptions and foster a more positive outlook toward insulin use.</w:t>
      </w:r>
    </w:p>
    <w:p w14:paraId="3128AC0B" w14:textId="77777777" w:rsidR="000F405E" w:rsidRPr="00941E90" w:rsidRDefault="000F405E" w:rsidP="00A56B7B">
      <w:pPr>
        <w:rPr>
          <w:rFonts w:eastAsia="Arial"/>
        </w:rPr>
      </w:pPr>
    </w:p>
    <w:p w14:paraId="5F99EDEE" w14:textId="3B13C4A9" w:rsidR="00A56B7B" w:rsidRDefault="00941E90" w:rsidP="00C31A0E">
      <w:pPr>
        <w:rPr>
          <w:rFonts w:eastAsia="Arial"/>
        </w:rPr>
      </w:pPr>
      <w:r w:rsidRPr="00941E90">
        <w:rPr>
          <w:rFonts w:eastAsia="Arial"/>
        </w:rPr>
        <w:t>By implementing these strategies, we believe that significant improvements in the KAP levels regarding insulin therapy can be achieved. This, in turn, will reduce the incidence of avoidable complications, improve the quality of life for patients with T1DM, and promote better long-term health outcomes. Continued research and the integration of feedback from patients and caregivers will also be essential to refine these programs and ensure their effectiveness</w:t>
      </w:r>
      <w:proofErr w:type="gramStart"/>
      <w:r w:rsidRPr="00941E90">
        <w:rPr>
          <w:rFonts w:eastAsia="Arial"/>
        </w:rPr>
        <w:t>.</w:t>
      </w:r>
      <w:r w:rsidR="00C31A0E">
        <w:rPr>
          <w:rFonts w:eastAsia="Arial"/>
        </w:rPr>
        <w:t>[</w:t>
      </w:r>
      <w:proofErr w:type="gramEnd"/>
      <w:r w:rsidRPr="00941E90">
        <w:rPr>
          <w:rFonts w:eastAsia="Arial"/>
        </w:rPr>
        <w:t>13</w:t>
      </w:r>
      <w:r w:rsidR="00C31A0E">
        <w:rPr>
          <w:rFonts w:eastAsia="Arial"/>
        </w:rPr>
        <w:t>-</w:t>
      </w:r>
      <w:r w:rsidRPr="00941E90">
        <w:rPr>
          <w:rFonts w:eastAsia="Arial"/>
        </w:rPr>
        <w:t>15</w:t>
      </w:r>
      <w:r w:rsidR="00C31A0E">
        <w:rPr>
          <w:rFonts w:eastAsia="Arial"/>
        </w:rPr>
        <w:t>]</w:t>
      </w:r>
    </w:p>
    <w:p w14:paraId="2F49A398" w14:textId="77777777" w:rsidR="00A56B7B" w:rsidRDefault="00A56B7B" w:rsidP="00A56B7B">
      <w:pPr>
        <w:rPr>
          <w:rFonts w:eastAsia="Arial"/>
        </w:rPr>
      </w:pPr>
    </w:p>
    <w:p w14:paraId="5C50A625" w14:textId="77777777" w:rsidR="00A56B7B" w:rsidRPr="00A56B7B" w:rsidRDefault="00A56B7B" w:rsidP="00A56B7B">
      <w:pPr>
        <w:rPr>
          <w:rFonts w:eastAsia="Arial"/>
        </w:rPr>
      </w:pPr>
    </w:p>
    <w:p w14:paraId="6EFE01AD" w14:textId="77777777" w:rsidR="00B31BC5" w:rsidRDefault="00C432B6" w:rsidP="00A704B7">
      <w:pPr>
        <w:pStyle w:val="Heading2"/>
        <w:rPr>
          <w:i/>
          <w:iCs/>
        </w:rPr>
      </w:pPr>
      <w:r w:rsidRPr="00B31BC5">
        <w:t>Conflicts Of Interest</w:t>
      </w:r>
    </w:p>
    <w:p w14:paraId="39F3026F" w14:textId="4C176BBE" w:rsidR="00B31AF0" w:rsidRDefault="00941E90" w:rsidP="00C432B6">
      <w:pPr>
        <w:rPr>
          <w:lang w:bidi="ar-IQ"/>
        </w:rPr>
      </w:pPr>
      <w:r>
        <w:rPr>
          <w:lang w:bidi="ar-IQ"/>
        </w:rPr>
        <w:t>None</w:t>
      </w:r>
    </w:p>
    <w:p w14:paraId="0998AEF0" w14:textId="77777777" w:rsidR="00941E90" w:rsidRDefault="00B31AF0" w:rsidP="00941E90">
      <w:pPr>
        <w:pStyle w:val="Heading2"/>
      </w:pPr>
      <w:r w:rsidRPr="00B31AF0">
        <w:t>Funding</w:t>
      </w:r>
    </w:p>
    <w:p w14:paraId="7DD27240" w14:textId="2F1F4BA7" w:rsidR="009F1310" w:rsidRPr="00B31AF0" w:rsidRDefault="00B31AF0" w:rsidP="00C31A0E">
      <w:pPr>
        <w:pStyle w:val="Heading2"/>
        <w:rPr>
          <w:lang w:bidi="ar-IQ"/>
        </w:rPr>
      </w:pPr>
      <w:r>
        <w:rPr>
          <w:lang w:bidi="ar-IQ"/>
        </w:rPr>
        <w:t xml:space="preserve"> </w:t>
      </w:r>
      <w:r w:rsidR="00941E90" w:rsidRPr="00C31A0E">
        <w:rPr>
          <w:b w:val="0"/>
          <w:bCs w:val="0"/>
          <w:sz w:val="20"/>
          <w:szCs w:val="20"/>
          <w:lang w:bidi="ar-IQ"/>
        </w:rPr>
        <w:t>None</w:t>
      </w:r>
    </w:p>
    <w:p w14:paraId="2695F433" w14:textId="184FC6DA" w:rsidR="00F73746" w:rsidRPr="00FE2E33" w:rsidRDefault="00F73746" w:rsidP="00A704B7">
      <w:pPr>
        <w:pStyle w:val="Heading2"/>
        <w:rPr>
          <w:i/>
          <w:iCs/>
        </w:rPr>
      </w:pPr>
      <w:r w:rsidRPr="00FE2E33">
        <w:t xml:space="preserve">Acknowledgment </w:t>
      </w:r>
    </w:p>
    <w:p w14:paraId="75549E2C" w14:textId="337AF799" w:rsidR="00B0022F" w:rsidRPr="00941E90" w:rsidRDefault="00941E90" w:rsidP="00103F5B">
      <w:pPr>
        <w:pStyle w:val="BodyText"/>
        <w:ind w:firstLine="0"/>
        <w:jc w:val="left"/>
        <w:rPr>
          <w:lang w:val="en-US"/>
        </w:rPr>
      </w:pPr>
      <w:r>
        <w:rPr>
          <w:lang w:val="en-US"/>
        </w:rPr>
        <w:t>None</w:t>
      </w:r>
    </w:p>
    <w:p w14:paraId="5091BD6B" w14:textId="77777777" w:rsidR="00341A37" w:rsidRDefault="00341A37" w:rsidP="00A704B7">
      <w:pPr>
        <w:pStyle w:val="Heading2"/>
      </w:pPr>
    </w:p>
    <w:p w14:paraId="04F11210" w14:textId="61CEAB62" w:rsidR="00F73746" w:rsidRDefault="00F73746" w:rsidP="00A704B7">
      <w:pPr>
        <w:pStyle w:val="Heading2"/>
        <w:rPr>
          <w:i/>
          <w:iCs/>
        </w:rPr>
      </w:pPr>
      <w:r w:rsidRPr="00103F5B">
        <w:t>References</w:t>
      </w:r>
    </w:p>
    <w:p w14:paraId="711C2D6C" w14:textId="77777777" w:rsidR="00B32C9A" w:rsidRPr="00B32C9A" w:rsidRDefault="00B32C9A" w:rsidP="00B32C9A"/>
    <w:p w14:paraId="63993F0E" w14:textId="77777777" w:rsidR="000669F6" w:rsidRPr="00D2530C" w:rsidRDefault="00941E90" w:rsidP="00D2530C">
      <w:pPr>
        <w:pStyle w:val="references"/>
        <w:tabs>
          <w:tab w:val="num" w:pos="360"/>
        </w:tabs>
        <w:ind w:left="354" w:hanging="354"/>
        <w:jc w:val="left"/>
        <w:rPr>
          <w:sz w:val="20"/>
          <w:szCs w:val="20"/>
        </w:rPr>
      </w:pPr>
      <w:r w:rsidRPr="00941E90">
        <w:rPr>
          <w:color w:val="000000"/>
          <w:sz w:val="19"/>
          <w:szCs w:val="22"/>
        </w:rPr>
        <w:t>[</w:t>
      </w:r>
      <w:r w:rsidRPr="00D2530C">
        <w:rPr>
          <w:sz w:val="20"/>
          <w:szCs w:val="20"/>
        </w:rPr>
        <w:t>1] American Diabetes Association, “Standards of Medical Care in Diabetes—2020,” Diabetes Care, vol. 43, no. 1, pp. S66–S76, 2020.</w:t>
      </w:r>
    </w:p>
    <w:p w14:paraId="3FBA3613" w14:textId="7FEC906E" w:rsidR="00941E90" w:rsidRPr="00D2530C" w:rsidRDefault="00941E90" w:rsidP="00D2530C">
      <w:pPr>
        <w:pStyle w:val="references"/>
        <w:tabs>
          <w:tab w:val="num" w:pos="360"/>
        </w:tabs>
        <w:ind w:left="354" w:hanging="354"/>
        <w:jc w:val="left"/>
        <w:rPr>
          <w:sz w:val="20"/>
          <w:szCs w:val="20"/>
        </w:rPr>
      </w:pPr>
      <w:r w:rsidRPr="00D2530C">
        <w:rPr>
          <w:sz w:val="20"/>
          <w:szCs w:val="20"/>
        </w:rPr>
        <w:t>[2] H. Al‑</w:t>
      </w:r>
      <w:proofErr w:type="spellStart"/>
      <w:r w:rsidRPr="00D2530C">
        <w:rPr>
          <w:sz w:val="20"/>
          <w:szCs w:val="20"/>
        </w:rPr>
        <w:t>Khawaga</w:t>
      </w:r>
      <w:proofErr w:type="spellEnd"/>
      <w:r w:rsidRPr="00D2530C">
        <w:rPr>
          <w:sz w:val="20"/>
          <w:szCs w:val="20"/>
        </w:rPr>
        <w:t xml:space="preserve"> and A. Al‑</w:t>
      </w:r>
      <w:proofErr w:type="spellStart"/>
      <w:r w:rsidRPr="00D2530C">
        <w:rPr>
          <w:sz w:val="20"/>
          <w:szCs w:val="20"/>
        </w:rPr>
        <w:t>Haidar</w:t>
      </w:r>
      <w:proofErr w:type="spellEnd"/>
      <w:r w:rsidRPr="00D2530C">
        <w:rPr>
          <w:sz w:val="20"/>
          <w:szCs w:val="20"/>
        </w:rPr>
        <w:t xml:space="preserve">, “Knowledge, attitudes, and practices regarding diabetes management in type 1 diabetic patients in the Middle </w:t>
      </w:r>
      <w:proofErr w:type="gramStart"/>
      <w:r w:rsidRPr="00D2530C">
        <w:rPr>
          <w:sz w:val="20"/>
          <w:szCs w:val="20"/>
        </w:rPr>
        <w:t>East</w:t>
      </w:r>
      <w:proofErr w:type="gramEnd"/>
      <w:r w:rsidRPr="00D2530C">
        <w:rPr>
          <w:sz w:val="20"/>
          <w:szCs w:val="20"/>
        </w:rPr>
        <w:t>,” Journal of Diabetes Research, Article 4750193, 2019.</w:t>
      </w:r>
    </w:p>
    <w:p w14:paraId="12443039" w14:textId="316DC199" w:rsidR="00941E90" w:rsidRPr="00D2530C" w:rsidRDefault="00941E90" w:rsidP="00D2530C">
      <w:pPr>
        <w:pStyle w:val="references"/>
        <w:tabs>
          <w:tab w:val="num" w:pos="360"/>
        </w:tabs>
        <w:ind w:left="354" w:hanging="354"/>
        <w:jc w:val="left"/>
        <w:rPr>
          <w:sz w:val="20"/>
          <w:szCs w:val="20"/>
        </w:rPr>
      </w:pPr>
      <w:proofErr w:type="gramStart"/>
      <w:r w:rsidRPr="00D2530C">
        <w:rPr>
          <w:sz w:val="20"/>
          <w:szCs w:val="20"/>
        </w:rPr>
        <w:t>[3] M. Mahmoud and F. Al‑Khaled, “Assessment of diabetes knowledge, attitudes, and practices among caregivers of children with type 1 diabetes in Qatar,” Journal of Pediatric Nursing, vol. 56, pp. 68–74, 2021.</w:t>
      </w:r>
      <w:proofErr w:type="gramEnd"/>
    </w:p>
    <w:p w14:paraId="0268DBD6" w14:textId="77777777" w:rsidR="000669F6" w:rsidRPr="00D2530C" w:rsidRDefault="00941E90" w:rsidP="00D2530C">
      <w:pPr>
        <w:pStyle w:val="references"/>
        <w:tabs>
          <w:tab w:val="num" w:pos="360"/>
        </w:tabs>
        <w:ind w:left="354" w:hanging="354"/>
        <w:jc w:val="left"/>
        <w:rPr>
          <w:sz w:val="20"/>
          <w:szCs w:val="20"/>
        </w:rPr>
      </w:pPr>
      <w:r w:rsidRPr="00D2530C">
        <w:rPr>
          <w:sz w:val="20"/>
          <w:szCs w:val="20"/>
        </w:rPr>
        <w:t>[4] World Health Organization (WHO), Global Report on Diabetes, Geneva: WHO Press, 2016.</w:t>
      </w:r>
    </w:p>
    <w:p w14:paraId="28B66854" w14:textId="5029F615" w:rsidR="00941E90" w:rsidRPr="00D2530C" w:rsidRDefault="00941E90" w:rsidP="00D2530C">
      <w:pPr>
        <w:pStyle w:val="references"/>
        <w:tabs>
          <w:tab w:val="num" w:pos="360"/>
        </w:tabs>
        <w:ind w:left="354" w:hanging="354"/>
        <w:jc w:val="left"/>
        <w:rPr>
          <w:sz w:val="20"/>
          <w:szCs w:val="20"/>
        </w:rPr>
      </w:pPr>
      <w:r w:rsidRPr="00D2530C">
        <w:rPr>
          <w:sz w:val="20"/>
          <w:szCs w:val="20"/>
        </w:rPr>
        <w:t xml:space="preserve">[5] M. </w:t>
      </w:r>
      <w:proofErr w:type="spellStart"/>
      <w:r w:rsidRPr="00D2530C">
        <w:rPr>
          <w:sz w:val="20"/>
          <w:szCs w:val="20"/>
        </w:rPr>
        <w:t>Karachaliou</w:t>
      </w:r>
      <w:proofErr w:type="spellEnd"/>
      <w:r w:rsidRPr="00D2530C">
        <w:rPr>
          <w:sz w:val="20"/>
          <w:szCs w:val="20"/>
        </w:rPr>
        <w:t xml:space="preserve"> and T. </w:t>
      </w:r>
      <w:proofErr w:type="spellStart"/>
      <w:r w:rsidRPr="00D2530C">
        <w:rPr>
          <w:sz w:val="20"/>
          <w:szCs w:val="20"/>
        </w:rPr>
        <w:t>Konstantinidis</w:t>
      </w:r>
      <w:proofErr w:type="spellEnd"/>
      <w:r w:rsidRPr="00D2530C">
        <w:rPr>
          <w:sz w:val="20"/>
          <w:szCs w:val="20"/>
        </w:rPr>
        <w:t>, “Knowledge, attitudes, and practices of diabetes care among patients with type 1 diabetes in Greece,” European Journal of Clinical Nutrition, vol. 72, no. 3, pp. 412–417, 2018.</w:t>
      </w:r>
    </w:p>
    <w:p w14:paraId="6F0425C3" w14:textId="74D2598F" w:rsidR="00941E90" w:rsidRPr="00D2530C" w:rsidRDefault="00941E90" w:rsidP="00D2530C">
      <w:pPr>
        <w:pStyle w:val="references"/>
        <w:tabs>
          <w:tab w:val="num" w:pos="360"/>
        </w:tabs>
        <w:ind w:left="354" w:hanging="354"/>
        <w:jc w:val="left"/>
        <w:rPr>
          <w:sz w:val="20"/>
          <w:szCs w:val="20"/>
        </w:rPr>
      </w:pPr>
      <w:r w:rsidRPr="00D2530C">
        <w:rPr>
          <w:sz w:val="20"/>
          <w:szCs w:val="20"/>
        </w:rPr>
        <w:t xml:space="preserve">[6] L. </w:t>
      </w:r>
      <w:proofErr w:type="spellStart"/>
      <w:r w:rsidRPr="00D2530C">
        <w:rPr>
          <w:sz w:val="20"/>
          <w:szCs w:val="20"/>
        </w:rPr>
        <w:t>Jaber</w:t>
      </w:r>
      <w:proofErr w:type="spellEnd"/>
      <w:r w:rsidRPr="00D2530C">
        <w:rPr>
          <w:sz w:val="20"/>
          <w:szCs w:val="20"/>
        </w:rPr>
        <w:t xml:space="preserve"> and H. </w:t>
      </w:r>
      <w:proofErr w:type="spellStart"/>
      <w:r w:rsidRPr="00D2530C">
        <w:rPr>
          <w:sz w:val="20"/>
          <w:szCs w:val="20"/>
        </w:rPr>
        <w:t>Bawadi</w:t>
      </w:r>
      <w:proofErr w:type="spellEnd"/>
      <w:r w:rsidRPr="00D2530C">
        <w:rPr>
          <w:sz w:val="20"/>
          <w:szCs w:val="20"/>
        </w:rPr>
        <w:t>, “Knowledge, attitudes, and practices regarding diabetes management in type 1 and type 2 diabetic patients in Jordan,” Journal of Diabetes &amp; Metabolic Disorders, vol. 16, no. 1, pp. 1–9, 2017.</w:t>
      </w:r>
    </w:p>
    <w:p w14:paraId="0EC423E8" w14:textId="44C2C0FB" w:rsidR="00941E90" w:rsidRPr="00D2530C" w:rsidRDefault="00941E90" w:rsidP="00D2530C">
      <w:pPr>
        <w:pStyle w:val="references"/>
        <w:tabs>
          <w:tab w:val="num" w:pos="360"/>
        </w:tabs>
        <w:ind w:left="354" w:hanging="354"/>
        <w:jc w:val="left"/>
        <w:rPr>
          <w:sz w:val="20"/>
          <w:szCs w:val="20"/>
        </w:rPr>
      </w:pPr>
      <w:proofErr w:type="gramStart"/>
      <w:r w:rsidRPr="00D2530C">
        <w:rPr>
          <w:sz w:val="20"/>
          <w:szCs w:val="20"/>
        </w:rPr>
        <w:t xml:space="preserve">[7] L. </w:t>
      </w:r>
      <w:proofErr w:type="spellStart"/>
      <w:r w:rsidRPr="00D2530C">
        <w:rPr>
          <w:sz w:val="20"/>
          <w:szCs w:val="20"/>
        </w:rPr>
        <w:t>Jia</w:t>
      </w:r>
      <w:proofErr w:type="spellEnd"/>
      <w:r w:rsidRPr="00D2530C">
        <w:rPr>
          <w:sz w:val="20"/>
          <w:szCs w:val="20"/>
        </w:rPr>
        <w:t>, L. Liu, and L. Wang, “Evaluating the knowledge, attitude, and practices towards diabetes management among patients in China,” Journal of Diabetes Research, Article 1234593, 2018.</w:t>
      </w:r>
      <w:proofErr w:type="gramEnd"/>
    </w:p>
    <w:p w14:paraId="15A23607" w14:textId="77777777" w:rsidR="00941E90" w:rsidRPr="00D2530C" w:rsidRDefault="00941E90" w:rsidP="00D2530C">
      <w:pPr>
        <w:pStyle w:val="references"/>
        <w:tabs>
          <w:tab w:val="num" w:pos="360"/>
        </w:tabs>
        <w:ind w:left="354" w:hanging="354"/>
        <w:jc w:val="left"/>
        <w:rPr>
          <w:sz w:val="20"/>
          <w:szCs w:val="20"/>
        </w:rPr>
      </w:pPr>
      <w:r w:rsidRPr="00D2530C">
        <w:rPr>
          <w:sz w:val="20"/>
          <w:szCs w:val="20"/>
        </w:rPr>
        <w:t>[8] A. El‑</w:t>
      </w:r>
      <w:proofErr w:type="spellStart"/>
      <w:r w:rsidRPr="00D2530C">
        <w:rPr>
          <w:sz w:val="20"/>
          <w:szCs w:val="20"/>
        </w:rPr>
        <w:t>Gayar</w:t>
      </w:r>
      <w:proofErr w:type="spellEnd"/>
      <w:r w:rsidRPr="00D2530C">
        <w:rPr>
          <w:sz w:val="20"/>
          <w:szCs w:val="20"/>
        </w:rPr>
        <w:t xml:space="preserve"> and H. El‑Sayed, “Knowledge, attitudes, and practices among Egyptian diabetic patients regarding insulin therapy,” Diabetes &amp; Metabolic Syndrome: Clinical Research &amp; Reviews, vol. 13, no. 1, pp. 50–56, 2019.</w:t>
      </w:r>
    </w:p>
    <w:p w14:paraId="58B0190E" w14:textId="7E722496" w:rsidR="00941E90" w:rsidRPr="00D2530C" w:rsidRDefault="00941E90" w:rsidP="00D2530C">
      <w:pPr>
        <w:pStyle w:val="references"/>
        <w:tabs>
          <w:tab w:val="num" w:pos="360"/>
        </w:tabs>
        <w:ind w:left="354" w:hanging="354"/>
        <w:jc w:val="left"/>
        <w:rPr>
          <w:sz w:val="20"/>
          <w:szCs w:val="20"/>
        </w:rPr>
      </w:pPr>
      <w:r w:rsidRPr="00D2530C">
        <w:rPr>
          <w:sz w:val="20"/>
          <w:szCs w:val="20"/>
        </w:rPr>
        <w:t xml:space="preserve">[9] R. A. </w:t>
      </w:r>
      <w:proofErr w:type="spellStart"/>
      <w:r w:rsidRPr="00D2530C">
        <w:rPr>
          <w:sz w:val="20"/>
          <w:szCs w:val="20"/>
        </w:rPr>
        <w:t>Alzaheb</w:t>
      </w:r>
      <w:proofErr w:type="spellEnd"/>
      <w:r w:rsidRPr="00D2530C">
        <w:rPr>
          <w:sz w:val="20"/>
          <w:szCs w:val="20"/>
        </w:rPr>
        <w:t xml:space="preserve"> and A. F. </w:t>
      </w:r>
      <w:proofErr w:type="spellStart"/>
      <w:r w:rsidRPr="00D2530C">
        <w:rPr>
          <w:sz w:val="20"/>
          <w:szCs w:val="20"/>
        </w:rPr>
        <w:t>Almutairi</w:t>
      </w:r>
      <w:proofErr w:type="spellEnd"/>
      <w:r w:rsidRPr="00D2530C">
        <w:rPr>
          <w:sz w:val="20"/>
          <w:szCs w:val="20"/>
        </w:rPr>
        <w:t>, “The impact of diabetes education programs on the knowledge, attitude, and practice of diabetic patients in Saudi Arabia,” Journal of Clinical Nursing, vol. 26, no. 23–24, pp. 5356–5365, 2017.</w:t>
      </w:r>
    </w:p>
    <w:p w14:paraId="77731087" w14:textId="7BF292AA" w:rsidR="00941E90" w:rsidRPr="00D2530C" w:rsidRDefault="00941E90" w:rsidP="00D2530C">
      <w:pPr>
        <w:pStyle w:val="references"/>
        <w:tabs>
          <w:tab w:val="num" w:pos="360"/>
        </w:tabs>
        <w:ind w:left="354" w:hanging="354"/>
        <w:jc w:val="left"/>
        <w:rPr>
          <w:sz w:val="20"/>
          <w:szCs w:val="20"/>
        </w:rPr>
      </w:pPr>
      <w:proofErr w:type="gramStart"/>
      <w:r w:rsidRPr="00D2530C">
        <w:rPr>
          <w:sz w:val="20"/>
          <w:szCs w:val="20"/>
        </w:rPr>
        <w:t xml:space="preserve">[10] M. A. </w:t>
      </w:r>
      <w:proofErr w:type="spellStart"/>
      <w:r w:rsidRPr="00D2530C">
        <w:rPr>
          <w:sz w:val="20"/>
          <w:szCs w:val="20"/>
        </w:rPr>
        <w:t>Mannan</w:t>
      </w:r>
      <w:proofErr w:type="spellEnd"/>
      <w:r w:rsidRPr="00D2530C">
        <w:rPr>
          <w:sz w:val="20"/>
          <w:szCs w:val="20"/>
        </w:rPr>
        <w:t xml:space="preserve"> and A. R. Kamal, “The relationship between knowledge, attitudes, and practices of insulin use among diabetic patients in Bangladesh,” Diabetes Research and Clinical Practice, vol. 143, pp. 149–156, 2018.</w:t>
      </w:r>
      <w:proofErr w:type="gramEnd"/>
    </w:p>
    <w:p w14:paraId="109F46CF" w14:textId="23F16D7C" w:rsidR="00941E90" w:rsidRPr="00D2530C" w:rsidRDefault="00941E90" w:rsidP="00D2530C">
      <w:pPr>
        <w:pStyle w:val="references"/>
        <w:tabs>
          <w:tab w:val="num" w:pos="360"/>
        </w:tabs>
        <w:ind w:left="354" w:hanging="354"/>
        <w:jc w:val="left"/>
        <w:rPr>
          <w:sz w:val="20"/>
          <w:szCs w:val="20"/>
        </w:rPr>
      </w:pPr>
      <w:r w:rsidRPr="00D2530C">
        <w:rPr>
          <w:sz w:val="20"/>
          <w:szCs w:val="20"/>
        </w:rPr>
        <w:t>[11] F. M. Al‑</w:t>
      </w:r>
      <w:proofErr w:type="spellStart"/>
      <w:r w:rsidRPr="00D2530C">
        <w:rPr>
          <w:sz w:val="20"/>
          <w:szCs w:val="20"/>
        </w:rPr>
        <w:t>Shamlan</w:t>
      </w:r>
      <w:proofErr w:type="spellEnd"/>
      <w:r w:rsidRPr="00D2530C">
        <w:rPr>
          <w:sz w:val="20"/>
          <w:szCs w:val="20"/>
        </w:rPr>
        <w:t xml:space="preserve"> and T. Al‑</w:t>
      </w:r>
      <w:proofErr w:type="spellStart"/>
      <w:r w:rsidRPr="00D2530C">
        <w:rPr>
          <w:sz w:val="20"/>
          <w:szCs w:val="20"/>
        </w:rPr>
        <w:t>Harbi</w:t>
      </w:r>
      <w:proofErr w:type="spellEnd"/>
      <w:r w:rsidRPr="00D2530C">
        <w:rPr>
          <w:sz w:val="20"/>
          <w:szCs w:val="20"/>
        </w:rPr>
        <w:t>, “A study on the effect of educational interventions on improving the knowledge and practices of type 1 diabetes patients in Riyadh, Saudi Arabia,” Journal of Diabetes Nursing, vol. 24, no. 2, pp. 76–83, 2020.</w:t>
      </w:r>
      <w:bookmarkStart w:id="0" w:name="_GoBack"/>
      <w:bookmarkEnd w:id="0"/>
    </w:p>
    <w:p w14:paraId="57C38D9C" w14:textId="0001ECEA" w:rsidR="00941E90" w:rsidRPr="00D2530C" w:rsidRDefault="00941E90" w:rsidP="00D2530C">
      <w:pPr>
        <w:pStyle w:val="references"/>
        <w:tabs>
          <w:tab w:val="num" w:pos="360"/>
        </w:tabs>
        <w:ind w:left="354" w:hanging="354"/>
        <w:jc w:val="left"/>
        <w:rPr>
          <w:sz w:val="20"/>
          <w:szCs w:val="20"/>
        </w:rPr>
      </w:pPr>
      <w:proofErr w:type="gramStart"/>
      <w:r w:rsidRPr="00D2530C">
        <w:rPr>
          <w:sz w:val="20"/>
          <w:szCs w:val="20"/>
        </w:rPr>
        <w:lastRenderedPageBreak/>
        <w:t xml:space="preserve">[12] M. A. </w:t>
      </w:r>
      <w:proofErr w:type="spellStart"/>
      <w:r w:rsidRPr="00D2530C">
        <w:rPr>
          <w:sz w:val="20"/>
          <w:szCs w:val="20"/>
        </w:rPr>
        <w:t>Zayed</w:t>
      </w:r>
      <w:proofErr w:type="spellEnd"/>
      <w:r w:rsidRPr="00D2530C">
        <w:rPr>
          <w:sz w:val="20"/>
          <w:szCs w:val="20"/>
        </w:rPr>
        <w:t xml:space="preserve"> and S. S. Al‑</w:t>
      </w:r>
      <w:proofErr w:type="spellStart"/>
      <w:r w:rsidRPr="00D2530C">
        <w:rPr>
          <w:sz w:val="20"/>
          <w:szCs w:val="20"/>
        </w:rPr>
        <w:t>Ghamdi</w:t>
      </w:r>
      <w:proofErr w:type="spellEnd"/>
      <w:r w:rsidRPr="00D2530C">
        <w:rPr>
          <w:sz w:val="20"/>
          <w:szCs w:val="20"/>
        </w:rPr>
        <w:t>, “Knowledge and practices of type 1 diabetes management in adolescents in the UAE,” Diabetic Medicine, vol. 36, no. 12, pp. 1594–1600, 2019.</w:t>
      </w:r>
      <w:proofErr w:type="gramEnd"/>
    </w:p>
    <w:p w14:paraId="54570570" w14:textId="64EA8FB1" w:rsidR="00941E90" w:rsidRPr="00D2530C" w:rsidRDefault="00941E90" w:rsidP="00D2530C">
      <w:pPr>
        <w:pStyle w:val="references"/>
        <w:tabs>
          <w:tab w:val="num" w:pos="360"/>
        </w:tabs>
        <w:ind w:left="354" w:hanging="354"/>
        <w:jc w:val="left"/>
        <w:rPr>
          <w:sz w:val="20"/>
          <w:szCs w:val="20"/>
        </w:rPr>
      </w:pPr>
      <w:r w:rsidRPr="00D2530C">
        <w:rPr>
          <w:sz w:val="20"/>
          <w:szCs w:val="20"/>
        </w:rPr>
        <w:t xml:space="preserve">[13] R. H. </w:t>
      </w:r>
      <w:proofErr w:type="spellStart"/>
      <w:r w:rsidRPr="00D2530C">
        <w:rPr>
          <w:sz w:val="20"/>
          <w:szCs w:val="20"/>
        </w:rPr>
        <w:t>Barakat</w:t>
      </w:r>
      <w:proofErr w:type="spellEnd"/>
      <w:r w:rsidRPr="00D2530C">
        <w:rPr>
          <w:sz w:val="20"/>
          <w:szCs w:val="20"/>
        </w:rPr>
        <w:t xml:space="preserve"> and M. M. Al‑</w:t>
      </w:r>
      <w:proofErr w:type="spellStart"/>
      <w:r w:rsidRPr="00D2530C">
        <w:rPr>
          <w:sz w:val="20"/>
          <w:szCs w:val="20"/>
        </w:rPr>
        <w:t>Hashim</w:t>
      </w:r>
      <w:proofErr w:type="spellEnd"/>
      <w:r w:rsidRPr="00D2530C">
        <w:rPr>
          <w:sz w:val="20"/>
          <w:szCs w:val="20"/>
        </w:rPr>
        <w:t>, “Effectiveness of a diabetes education program in improving knowledge, attitudes, and practices of patients with type 1 diabetes in Iraq,” International Journal of Diabetes and Metabolism, vol. 23, no. 1, pp. 24–30, 2017.</w:t>
      </w:r>
    </w:p>
    <w:p w14:paraId="10F145CF" w14:textId="15976C78" w:rsidR="00941E90" w:rsidRPr="00D2530C" w:rsidRDefault="00941E90" w:rsidP="00D2530C">
      <w:pPr>
        <w:pStyle w:val="references"/>
        <w:tabs>
          <w:tab w:val="num" w:pos="360"/>
        </w:tabs>
        <w:ind w:left="354" w:hanging="354"/>
        <w:jc w:val="left"/>
        <w:rPr>
          <w:sz w:val="20"/>
          <w:szCs w:val="20"/>
        </w:rPr>
      </w:pPr>
      <w:r w:rsidRPr="00D2530C">
        <w:rPr>
          <w:sz w:val="20"/>
          <w:szCs w:val="20"/>
        </w:rPr>
        <w:t xml:space="preserve">[14] M. </w:t>
      </w:r>
      <w:proofErr w:type="spellStart"/>
      <w:r w:rsidRPr="00D2530C">
        <w:rPr>
          <w:sz w:val="20"/>
          <w:szCs w:val="20"/>
        </w:rPr>
        <w:t>Sakshi</w:t>
      </w:r>
      <w:proofErr w:type="spellEnd"/>
      <w:r w:rsidRPr="00D2530C">
        <w:rPr>
          <w:sz w:val="20"/>
          <w:szCs w:val="20"/>
        </w:rPr>
        <w:t xml:space="preserve"> and R. Kumar, “Diabetes management in children with type 1 diabetes: Knowledge, attitude, and practices among caregivers in India,” Indian Journal of Endocrinology and Metabolism, vol. 24, no. 2, pp. 131–136, 2020.</w:t>
      </w:r>
    </w:p>
    <w:p w14:paraId="130FC40F" w14:textId="77777777" w:rsidR="00941E90" w:rsidRPr="00D2530C" w:rsidRDefault="00941E90" w:rsidP="00D2530C">
      <w:pPr>
        <w:pStyle w:val="references"/>
        <w:tabs>
          <w:tab w:val="num" w:pos="360"/>
        </w:tabs>
        <w:ind w:left="354" w:hanging="354"/>
        <w:jc w:val="left"/>
        <w:rPr>
          <w:sz w:val="20"/>
          <w:szCs w:val="20"/>
        </w:rPr>
      </w:pPr>
      <w:r w:rsidRPr="00D2530C">
        <w:rPr>
          <w:sz w:val="20"/>
          <w:szCs w:val="20"/>
        </w:rPr>
        <w:t>[15] International Diabetes Federation (IDF), Diabetes Atlas 10th Edition, Brussels: International Diabetes Federation, 2021.</w:t>
      </w:r>
    </w:p>
    <w:p w14:paraId="5EE12D38" w14:textId="77777777" w:rsidR="00941E90" w:rsidRPr="00941E90" w:rsidRDefault="00941E90" w:rsidP="00941E90">
      <w:pPr>
        <w:spacing w:after="111" w:line="261" w:lineRule="auto"/>
        <w:rPr>
          <w:color w:val="000000"/>
          <w:sz w:val="19"/>
          <w:szCs w:val="22"/>
        </w:rPr>
      </w:pPr>
    </w:p>
    <w:p w14:paraId="7F9098E7" w14:textId="77777777" w:rsidR="00941E90" w:rsidRPr="00941E90" w:rsidRDefault="00941E90" w:rsidP="00941E90">
      <w:pPr>
        <w:spacing w:after="111" w:line="261" w:lineRule="auto"/>
        <w:rPr>
          <w:color w:val="000000"/>
          <w:sz w:val="19"/>
          <w:szCs w:val="22"/>
        </w:rPr>
      </w:pPr>
    </w:p>
    <w:p w14:paraId="6946D4C5" w14:textId="77777777" w:rsidR="00941E90" w:rsidRPr="00941E90" w:rsidRDefault="00941E90" w:rsidP="00941E90">
      <w:pPr>
        <w:spacing w:after="111" w:line="261" w:lineRule="auto"/>
        <w:rPr>
          <w:color w:val="000000"/>
          <w:sz w:val="19"/>
          <w:szCs w:val="22"/>
        </w:rPr>
      </w:pPr>
    </w:p>
    <w:p w14:paraId="5D5D7756" w14:textId="77777777" w:rsidR="00941E90" w:rsidRPr="00941E90" w:rsidRDefault="00941E90" w:rsidP="00941E90">
      <w:pPr>
        <w:spacing w:after="111" w:line="261" w:lineRule="auto"/>
        <w:rPr>
          <w:color w:val="000000"/>
          <w:sz w:val="19"/>
          <w:szCs w:val="22"/>
        </w:rPr>
      </w:pPr>
    </w:p>
    <w:p w14:paraId="65B7FC0D" w14:textId="77777777" w:rsidR="00941E90" w:rsidRPr="00941E90" w:rsidRDefault="00941E90" w:rsidP="00941E90">
      <w:pPr>
        <w:spacing w:after="111" w:line="261" w:lineRule="auto"/>
        <w:rPr>
          <w:color w:val="000000"/>
          <w:sz w:val="19"/>
          <w:szCs w:val="22"/>
        </w:rPr>
      </w:pPr>
    </w:p>
    <w:p w14:paraId="5E4D6872" w14:textId="77777777" w:rsidR="00941E90" w:rsidRPr="00941E90" w:rsidRDefault="00941E90" w:rsidP="00941E90">
      <w:pPr>
        <w:spacing w:after="111" w:line="261" w:lineRule="auto"/>
        <w:rPr>
          <w:color w:val="000000"/>
          <w:sz w:val="19"/>
          <w:szCs w:val="22"/>
        </w:rPr>
      </w:pP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6"/>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F95C4" w14:textId="77777777" w:rsidR="00B254F2" w:rsidRDefault="00B254F2">
      <w:r>
        <w:separator/>
      </w:r>
    </w:p>
  </w:endnote>
  <w:endnote w:type="continuationSeparator" w:id="0">
    <w:p w14:paraId="60DF28A2" w14:textId="77777777" w:rsidR="00B254F2" w:rsidRDefault="00B2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EAF3" w14:textId="5E237DBE" w:rsidR="00B26B14" w:rsidRPr="00B26B14" w:rsidRDefault="00B26B14" w:rsidP="0077060C">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w:t>
    </w:r>
    <w:r w:rsidR="0077060C" w:rsidRPr="0077060C">
      <w:rPr>
        <w:i/>
        <w:color w:val="000000"/>
        <w:sz w:val="14"/>
      </w:rPr>
      <w:t>alhilfit@mauc.edu.iq</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9BB5C" w14:textId="77777777" w:rsidR="00B254F2" w:rsidRDefault="00B254F2">
      <w:r>
        <w:separator/>
      </w:r>
    </w:p>
  </w:footnote>
  <w:footnote w:type="continuationSeparator" w:id="0">
    <w:p w14:paraId="2854760D" w14:textId="77777777" w:rsidR="00B254F2" w:rsidRDefault="00B2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72385EF6" w:rsidR="00B71355" w:rsidRDefault="00E96F46" w:rsidP="00A14E8F">
                              <w:r>
                                <w:rPr>
                                  <w:i/>
                                  <w:iCs/>
                                </w:rPr>
                                <w:t xml:space="preserve">Abdul Kareem et </w:t>
                              </w:r>
                              <w:r w:rsidR="00A14E8F" w:rsidRPr="00A14E8F">
                                <w:rPr>
                                  <w:i/>
                                  <w:iCs/>
                                </w:rPr>
                                <w:t>al</w:t>
                              </w:r>
                              <w:r w:rsidR="00741848">
                                <w:rPr>
                                  <w:i/>
                                  <w:iCs/>
                                </w:rPr>
                                <w:t>.</w:t>
                              </w:r>
                              <w:r w:rsidR="00A14E8F" w:rsidRPr="00A14E8F">
                                <w:rPr>
                                  <w:i/>
                                  <w:iCs/>
                                </w:rPr>
                                <w:t>, Journal of Health Sustainable Development Vol.2025</w:t>
                              </w:r>
                              <w:proofErr w:type="gramStart"/>
                              <w:r w:rsidR="00A14E8F" w:rsidRPr="00A14E8F">
                                <w:rPr>
                                  <w:i/>
                                  <w:iCs/>
                                </w:rPr>
                                <w:t>,</w:t>
                              </w:r>
                              <w:r w:rsidR="00A14E8F">
                                <w:rPr>
                                  <w:i/>
                                  <w:iCs/>
                                </w:rPr>
                                <w:t>21</w:t>
                              </w:r>
                              <w:proofErr w:type="gramEnd"/>
                              <w:r w:rsidR="00A14E8F" w:rsidRPr="00A14E8F">
                                <w:rPr>
                                  <w:i/>
                                  <w:iCs/>
                                </w:rPr>
                                <w:t>–2</w:t>
                              </w:r>
                              <w:r w:rsidR="00A14E8F">
                                <w:rPr>
                                  <w:i/>
                                  <w:iCs/>
                                </w:rPr>
                                <w:t>5</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72385EF6" w:rsidR="00B71355" w:rsidRDefault="00E96F46" w:rsidP="00A14E8F">
                        <w:r>
                          <w:rPr>
                            <w:i/>
                            <w:iCs/>
                          </w:rPr>
                          <w:t xml:space="preserve">Abdul Kareem et </w:t>
                        </w:r>
                        <w:r w:rsidR="00A14E8F" w:rsidRPr="00A14E8F">
                          <w:rPr>
                            <w:i/>
                            <w:iCs/>
                          </w:rPr>
                          <w:t>al</w:t>
                        </w:r>
                        <w:r w:rsidR="00741848">
                          <w:rPr>
                            <w:i/>
                            <w:iCs/>
                          </w:rPr>
                          <w:t>.</w:t>
                        </w:r>
                        <w:r w:rsidR="00A14E8F" w:rsidRPr="00A14E8F">
                          <w:rPr>
                            <w:i/>
                            <w:iCs/>
                          </w:rPr>
                          <w:t>, Journal of Health Sustainable Development Vol.2025</w:t>
                        </w:r>
                        <w:proofErr w:type="gramStart"/>
                        <w:r w:rsidR="00A14E8F" w:rsidRPr="00A14E8F">
                          <w:rPr>
                            <w:i/>
                            <w:iCs/>
                          </w:rPr>
                          <w:t>,</w:t>
                        </w:r>
                        <w:r w:rsidR="00A14E8F">
                          <w:rPr>
                            <w:i/>
                            <w:iCs/>
                          </w:rPr>
                          <w:t>21</w:t>
                        </w:r>
                        <w:proofErr w:type="gramEnd"/>
                        <w:r w:rsidR="00A14E8F" w:rsidRPr="00A14E8F">
                          <w:rPr>
                            <w:i/>
                            <w:iCs/>
                          </w:rPr>
                          <w:t>–2</w:t>
                        </w:r>
                        <w:r w:rsidR="00A14E8F">
                          <w:rPr>
                            <w:i/>
                            <w:iCs/>
                          </w:rPr>
                          <w:t>5</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D2530C" w:rsidRPr="00D2530C">
                            <w:rPr>
                              <w:noProof/>
                              <w:color w:val="FFFFFF" w:themeColor="background1"/>
                            </w:rPr>
                            <w:t>25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D2530C" w:rsidRPr="00D2530C">
                      <w:rPr>
                        <w:noProof/>
                        <w:color w:val="FFFFFF" w:themeColor="background1"/>
                      </w:rPr>
                      <w:t>25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7664FE"/>
    <w:multiLevelType w:val="multilevel"/>
    <w:tmpl w:val="9286A56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B383394"/>
    <w:multiLevelType w:val="hybridMultilevel"/>
    <w:tmpl w:val="E4A89856"/>
    <w:lvl w:ilvl="0" w:tplc="91A26A0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5">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3BBE35A6"/>
    <w:multiLevelType w:val="hybridMultilevel"/>
    <w:tmpl w:val="9B3E1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11">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nsid w:val="601562BE"/>
    <w:multiLevelType w:val="hybridMultilevel"/>
    <w:tmpl w:val="9EB865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6F55614C"/>
    <w:multiLevelType w:val="hybridMultilevel"/>
    <w:tmpl w:val="312E2BFC"/>
    <w:lvl w:ilvl="0" w:tplc="F9CE1E2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46803"/>
    <w:multiLevelType w:val="multilevel"/>
    <w:tmpl w:val="1FD471C0"/>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14"/>
  </w:num>
  <w:num w:numId="4">
    <w:abstractNumId w:val="8"/>
  </w:num>
  <w:num w:numId="5">
    <w:abstractNumId w:val="11"/>
  </w:num>
  <w:num w:numId="6">
    <w:abstractNumId w:val="12"/>
  </w:num>
  <w:num w:numId="7">
    <w:abstractNumId w:val="16"/>
  </w:num>
  <w:num w:numId="8">
    <w:abstractNumId w:val="16"/>
  </w:num>
  <w:num w:numId="9">
    <w:abstractNumId w:val="16"/>
  </w:num>
  <w:num w:numId="10">
    <w:abstractNumId w:val="7"/>
  </w:num>
  <w:num w:numId="11">
    <w:abstractNumId w:val="18"/>
  </w:num>
  <w:num w:numId="12">
    <w:abstractNumId w:val="15"/>
  </w:num>
  <w:num w:numId="13">
    <w:abstractNumId w:val="19"/>
  </w:num>
  <w:num w:numId="14">
    <w:abstractNumId w:val="13"/>
  </w:num>
  <w:num w:numId="15">
    <w:abstractNumId w:val="16"/>
  </w:num>
  <w:num w:numId="16">
    <w:abstractNumId w:val="16"/>
  </w:num>
  <w:num w:numId="17">
    <w:abstractNumId w:val="2"/>
  </w:num>
  <w:num w:numId="18">
    <w:abstractNumId w:val="16"/>
  </w:num>
  <w:num w:numId="19">
    <w:abstractNumId w:val="16"/>
  </w:num>
  <w:num w:numId="20">
    <w:abstractNumId w:val="16"/>
  </w:num>
  <w:num w:numId="21">
    <w:abstractNumId w:val="0"/>
  </w:num>
  <w:num w:numId="22">
    <w:abstractNumId w:val="16"/>
  </w:num>
  <w:num w:numId="23">
    <w:abstractNumId w:val="10"/>
  </w:num>
  <w:num w:numId="24">
    <w:abstractNumId w:val="16"/>
  </w:num>
  <w:num w:numId="25">
    <w:abstractNumId w:val="16"/>
  </w:num>
  <w:num w:numId="26">
    <w:abstractNumId w:val="16"/>
  </w:num>
  <w:num w:numId="27">
    <w:abstractNumId w:val="16"/>
  </w:num>
  <w:num w:numId="28">
    <w:abstractNumId w:val="4"/>
  </w:num>
  <w:num w:numId="29">
    <w:abstractNumId w:val="5"/>
  </w:num>
  <w:num w:numId="30">
    <w:abstractNumId w:val="16"/>
  </w:num>
  <w:num w:numId="31">
    <w:abstractNumId w:val="16"/>
  </w:num>
  <w:num w:numId="32">
    <w:abstractNumId w:val="16"/>
  </w:num>
  <w:num w:numId="33">
    <w:abstractNumId w:val="16"/>
  </w:num>
  <w:num w:numId="34">
    <w:abstractNumId w:val="16"/>
  </w:num>
  <w:num w:numId="35">
    <w:abstractNumId w:val="21"/>
  </w:num>
  <w:num w:numId="36">
    <w:abstractNumId w:val="16"/>
  </w:num>
  <w:num w:numId="37">
    <w:abstractNumId w:val="1"/>
  </w:num>
  <w:num w:numId="38">
    <w:abstractNumId w:val="9"/>
  </w:num>
  <w:num w:numId="39">
    <w:abstractNumId w:val="3"/>
  </w:num>
  <w:num w:numId="40">
    <w:abstractNumId w:val="17"/>
  </w:num>
  <w:num w:numId="41">
    <w:abstractNumId w:val="20"/>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163"/>
    <w:rsid w:val="000204AD"/>
    <w:rsid w:val="00042615"/>
    <w:rsid w:val="000614E2"/>
    <w:rsid w:val="000669F6"/>
    <w:rsid w:val="00076202"/>
    <w:rsid w:val="000A3D0F"/>
    <w:rsid w:val="000B3B8A"/>
    <w:rsid w:val="000C5D9D"/>
    <w:rsid w:val="000E3A22"/>
    <w:rsid w:val="000F0322"/>
    <w:rsid w:val="000F405E"/>
    <w:rsid w:val="00103F5B"/>
    <w:rsid w:val="00106371"/>
    <w:rsid w:val="00134F06"/>
    <w:rsid w:val="00156238"/>
    <w:rsid w:val="0015745D"/>
    <w:rsid w:val="00166EFC"/>
    <w:rsid w:val="001A05DF"/>
    <w:rsid w:val="001A3163"/>
    <w:rsid w:val="001A7BC6"/>
    <w:rsid w:val="001B0229"/>
    <w:rsid w:val="001B4B92"/>
    <w:rsid w:val="001D2E20"/>
    <w:rsid w:val="001F01AB"/>
    <w:rsid w:val="00212277"/>
    <w:rsid w:val="00215045"/>
    <w:rsid w:val="00220B69"/>
    <w:rsid w:val="0022770C"/>
    <w:rsid w:val="00234EF7"/>
    <w:rsid w:val="00254933"/>
    <w:rsid w:val="002608B2"/>
    <w:rsid w:val="002714A4"/>
    <w:rsid w:val="002811C8"/>
    <w:rsid w:val="002D0566"/>
    <w:rsid w:val="002D5BC3"/>
    <w:rsid w:val="002E228C"/>
    <w:rsid w:val="00301B1C"/>
    <w:rsid w:val="003076E7"/>
    <w:rsid w:val="003374FA"/>
    <w:rsid w:val="00341A37"/>
    <w:rsid w:val="00350459"/>
    <w:rsid w:val="00386AAE"/>
    <w:rsid w:val="00391F82"/>
    <w:rsid w:val="003B027D"/>
    <w:rsid w:val="003C1E37"/>
    <w:rsid w:val="003C5091"/>
    <w:rsid w:val="003F1CA9"/>
    <w:rsid w:val="00406FB5"/>
    <w:rsid w:val="00416E4B"/>
    <w:rsid w:val="00433C00"/>
    <w:rsid w:val="0044130E"/>
    <w:rsid w:val="00444D06"/>
    <w:rsid w:val="00444DA8"/>
    <w:rsid w:val="004526C6"/>
    <w:rsid w:val="00457E33"/>
    <w:rsid w:val="00475411"/>
    <w:rsid w:val="004759B1"/>
    <w:rsid w:val="00476269"/>
    <w:rsid w:val="004845CA"/>
    <w:rsid w:val="00485394"/>
    <w:rsid w:val="004A5938"/>
    <w:rsid w:val="004C0E45"/>
    <w:rsid w:val="004C1252"/>
    <w:rsid w:val="004C7841"/>
    <w:rsid w:val="00555052"/>
    <w:rsid w:val="005575BB"/>
    <w:rsid w:val="0056281B"/>
    <w:rsid w:val="005653B2"/>
    <w:rsid w:val="00577559"/>
    <w:rsid w:val="005835BC"/>
    <w:rsid w:val="00585C07"/>
    <w:rsid w:val="005B4CA7"/>
    <w:rsid w:val="005D0B2E"/>
    <w:rsid w:val="005E058B"/>
    <w:rsid w:val="005F3352"/>
    <w:rsid w:val="00613010"/>
    <w:rsid w:val="00615BE5"/>
    <w:rsid w:val="00655629"/>
    <w:rsid w:val="006645B8"/>
    <w:rsid w:val="00680634"/>
    <w:rsid w:val="006A6205"/>
    <w:rsid w:val="006B7C45"/>
    <w:rsid w:val="006C0C70"/>
    <w:rsid w:val="006E6790"/>
    <w:rsid w:val="006F6E92"/>
    <w:rsid w:val="0071702A"/>
    <w:rsid w:val="00721059"/>
    <w:rsid w:val="007222BC"/>
    <w:rsid w:val="00741848"/>
    <w:rsid w:val="00751DCC"/>
    <w:rsid w:val="00754C3C"/>
    <w:rsid w:val="00765308"/>
    <w:rsid w:val="00765F73"/>
    <w:rsid w:val="0077060C"/>
    <w:rsid w:val="00770B6C"/>
    <w:rsid w:val="00776C87"/>
    <w:rsid w:val="0078347A"/>
    <w:rsid w:val="00786E4F"/>
    <w:rsid w:val="00797B22"/>
    <w:rsid w:val="007B4F3D"/>
    <w:rsid w:val="007D4057"/>
    <w:rsid w:val="007E5A27"/>
    <w:rsid w:val="007F1E1A"/>
    <w:rsid w:val="00800070"/>
    <w:rsid w:val="00801362"/>
    <w:rsid w:val="0080206D"/>
    <w:rsid w:val="008476DC"/>
    <w:rsid w:val="0086187C"/>
    <w:rsid w:val="00874976"/>
    <w:rsid w:val="008A6190"/>
    <w:rsid w:val="008B6248"/>
    <w:rsid w:val="008B6C5A"/>
    <w:rsid w:val="008B70D0"/>
    <w:rsid w:val="008C6323"/>
    <w:rsid w:val="008C6D20"/>
    <w:rsid w:val="008D6A0E"/>
    <w:rsid w:val="008E5056"/>
    <w:rsid w:val="008E7ED1"/>
    <w:rsid w:val="009255C9"/>
    <w:rsid w:val="00941E90"/>
    <w:rsid w:val="00947FAC"/>
    <w:rsid w:val="0095719C"/>
    <w:rsid w:val="00980005"/>
    <w:rsid w:val="00991C24"/>
    <w:rsid w:val="0099778B"/>
    <w:rsid w:val="009A40C3"/>
    <w:rsid w:val="009A7C98"/>
    <w:rsid w:val="009B437D"/>
    <w:rsid w:val="009D3BE0"/>
    <w:rsid w:val="009D6219"/>
    <w:rsid w:val="009E3546"/>
    <w:rsid w:val="009E6852"/>
    <w:rsid w:val="009F1310"/>
    <w:rsid w:val="00A14E8F"/>
    <w:rsid w:val="00A456A4"/>
    <w:rsid w:val="00A56B7B"/>
    <w:rsid w:val="00A61C8C"/>
    <w:rsid w:val="00A70444"/>
    <w:rsid w:val="00A704B7"/>
    <w:rsid w:val="00A82BF4"/>
    <w:rsid w:val="00A82DA5"/>
    <w:rsid w:val="00AA4AEB"/>
    <w:rsid w:val="00AD5DAC"/>
    <w:rsid w:val="00AE2D0C"/>
    <w:rsid w:val="00B0022F"/>
    <w:rsid w:val="00B04914"/>
    <w:rsid w:val="00B15EDF"/>
    <w:rsid w:val="00B254F2"/>
    <w:rsid w:val="00B26B14"/>
    <w:rsid w:val="00B27028"/>
    <w:rsid w:val="00B31AF0"/>
    <w:rsid w:val="00B31BC5"/>
    <w:rsid w:val="00B32C9A"/>
    <w:rsid w:val="00B53A33"/>
    <w:rsid w:val="00B67C22"/>
    <w:rsid w:val="00B71355"/>
    <w:rsid w:val="00BA757B"/>
    <w:rsid w:val="00BB222F"/>
    <w:rsid w:val="00BB3063"/>
    <w:rsid w:val="00BC2C8C"/>
    <w:rsid w:val="00BC4D22"/>
    <w:rsid w:val="00BC629C"/>
    <w:rsid w:val="00BC6BFF"/>
    <w:rsid w:val="00BD0DBD"/>
    <w:rsid w:val="00BF0DC0"/>
    <w:rsid w:val="00C14D84"/>
    <w:rsid w:val="00C178F2"/>
    <w:rsid w:val="00C31A0E"/>
    <w:rsid w:val="00C31C8C"/>
    <w:rsid w:val="00C432B6"/>
    <w:rsid w:val="00C759C4"/>
    <w:rsid w:val="00C76023"/>
    <w:rsid w:val="00C92653"/>
    <w:rsid w:val="00C97170"/>
    <w:rsid w:val="00C971DD"/>
    <w:rsid w:val="00C9778D"/>
    <w:rsid w:val="00CA725F"/>
    <w:rsid w:val="00CB0C8F"/>
    <w:rsid w:val="00CB686D"/>
    <w:rsid w:val="00CD3163"/>
    <w:rsid w:val="00CE408E"/>
    <w:rsid w:val="00CE66EB"/>
    <w:rsid w:val="00D01F20"/>
    <w:rsid w:val="00D2530C"/>
    <w:rsid w:val="00D35999"/>
    <w:rsid w:val="00D408F8"/>
    <w:rsid w:val="00D45466"/>
    <w:rsid w:val="00D6324C"/>
    <w:rsid w:val="00D65C9B"/>
    <w:rsid w:val="00D770C0"/>
    <w:rsid w:val="00D83096"/>
    <w:rsid w:val="00D95005"/>
    <w:rsid w:val="00DA2383"/>
    <w:rsid w:val="00DA350B"/>
    <w:rsid w:val="00DB2A4F"/>
    <w:rsid w:val="00DD12F1"/>
    <w:rsid w:val="00DD4407"/>
    <w:rsid w:val="00DE35FC"/>
    <w:rsid w:val="00DF5F20"/>
    <w:rsid w:val="00DF63A0"/>
    <w:rsid w:val="00E03718"/>
    <w:rsid w:val="00E03AFB"/>
    <w:rsid w:val="00E41BC1"/>
    <w:rsid w:val="00E522DC"/>
    <w:rsid w:val="00E559CE"/>
    <w:rsid w:val="00E63F9E"/>
    <w:rsid w:val="00E70757"/>
    <w:rsid w:val="00E80AC5"/>
    <w:rsid w:val="00E907F1"/>
    <w:rsid w:val="00E96F46"/>
    <w:rsid w:val="00EB136A"/>
    <w:rsid w:val="00EE00BF"/>
    <w:rsid w:val="00EE2C82"/>
    <w:rsid w:val="00EE582A"/>
    <w:rsid w:val="00EF51F4"/>
    <w:rsid w:val="00EF606C"/>
    <w:rsid w:val="00F249D7"/>
    <w:rsid w:val="00F31028"/>
    <w:rsid w:val="00F31A3F"/>
    <w:rsid w:val="00F34F07"/>
    <w:rsid w:val="00F3530F"/>
    <w:rsid w:val="00F72291"/>
    <w:rsid w:val="00F73746"/>
    <w:rsid w:val="00F74DF2"/>
    <w:rsid w:val="00F91A2B"/>
    <w:rsid w:val="00FA1E6A"/>
    <w:rsid w:val="00FC35E1"/>
    <w:rsid w:val="00FE280E"/>
    <w:rsid w:val="00FE2E33"/>
    <w:rsid w:val="00FE49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 w:type="character" w:customStyle="1" w:styleId="UnresolvedMention">
    <w:name w:val="Unresolved Mention"/>
    <w:basedOn w:val="DefaultParagraphFont"/>
    <w:uiPriority w:val="99"/>
    <w:semiHidden/>
    <w:unhideWhenUsed/>
    <w:rsid w:val="00F74DF2"/>
    <w:rPr>
      <w:color w:val="605E5C"/>
      <w:shd w:val="clear" w:color="auto" w:fill="E1DFDD"/>
    </w:rPr>
  </w:style>
  <w:style w:type="paragraph" w:styleId="BalloonText">
    <w:name w:val="Balloon Text"/>
    <w:basedOn w:val="Normal"/>
    <w:link w:val="BalloonTextChar"/>
    <w:uiPriority w:val="99"/>
    <w:semiHidden/>
    <w:unhideWhenUsed/>
    <w:rsid w:val="00F72291"/>
    <w:rPr>
      <w:rFonts w:ascii="Tahoma" w:hAnsi="Tahoma" w:cs="Tahoma"/>
      <w:sz w:val="16"/>
      <w:szCs w:val="16"/>
    </w:rPr>
  </w:style>
  <w:style w:type="character" w:customStyle="1" w:styleId="BalloonTextChar">
    <w:name w:val="Balloon Text Char"/>
    <w:basedOn w:val="DefaultParagraphFont"/>
    <w:link w:val="BalloonText"/>
    <w:uiPriority w:val="99"/>
    <w:semiHidden/>
    <w:rsid w:val="00F72291"/>
    <w:rPr>
      <w:rFonts w:ascii="Tahoma" w:hAnsi="Tahoma" w:cs="Tahoma"/>
      <w:sz w:val="16"/>
      <w:szCs w:val="16"/>
    </w:rPr>
  </w:style>
  <w:style w:type="table" w:styleId="TableGrid0">
    <w:name w:val="Table Grid"/>
    <w:basedOn w:val="TableNormal"/>
    <w:uiPriority w:val="39"/>
    <w:rsid w:val="00A56B7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6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 w:type="character" w:customStyle="1" w:styleId="UnresolvedMention">
    <w:name w:val="Unresolved Mention"/>
    <w:basedOn w:val="DefaultParagraphFont"/>
    <w:uiPriority w:val="99"/>
    <w:semiHidden/>
    <w:unhideWhenUsed/>
    <w:rsid w:val="00F74DF2"/>
    <w:rPr>
      <w:color w:val="605E5C"/>
      <w:shd w:val="clear" w:color="auto" w:fill="E1DFDD"/>
    </w:rPr>
  </w:style>
  <w:style w:type="paragraph" w:styleId="BalloonText">
    <w:name w:val="Balloon Text"/>
    <w:basedOn w:val="Normal"/>
    <w:link w:val="BalloonTextChar"/>
    <w:uiPriority w:val="99"/>
    <w:semiHidden/>
    <w:unhideWhenUsed/>
    <w:rsid w:val="00F72291"/>
    <w:rPr>
      <w:rFonts w:ascii="Tahoma" w:hAnsi="Tahoma" w:cs="Tahoma"/>
      <w:sz w:val="16"/>
      <w:szCs w:val="16"/>
    </w:rPr>
  </w:style>
  <w:style w:type="character" w:customStyle="1" w:styleId="BalloonTextChar">
    <w:name w:val="Balloon Text Char"/>
    <w:basedOn w:val="DefaultParagraphFont"/>
    <w:link w:val="BalloonText"/>
    <w:uiPriority w:val="99"/>
    <w:semiHidden/>
    <w:rsid w:val="00F72291"/>
    <w:rPr>
      <w:rFonts w:ascii="Tahoma" w:hAnsi="Tahoma" w:cs="Tahoma"/>
      <w:sz w:val="16"/>
      <w:szCs w:val="16"/>
    </w:rPr>
  </w:style>
  <w:style w:type="table" w:styleId="TableGrid0">
    <w:name w:val="Table Grid"/>
    <w:basedOn w:val="TableNormal"/>
    <w:uiPriority w:val="39"/>
    <w:rsid w:val="00A56B7B"/>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76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58496/JHSD/2025/003" TargetMode="External"/><Relationship Id="rId18" Type="http://schemas.openxmlformats.org/officeDocument/2006/relationships/image" Target="media/image3.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esopotamian.press/journals/index.php/JHSD%20" TargetMode="External"/><Relationship Id="rId17" Type="http://schemas.openxmlformats.org/officeDocument/2006/relationships/hyperlink" Target="https://orcid.org/0000-0001-7873-2461"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8496/JHSD/2025/003"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esopotamian.press"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orcid.org/0000-0002-5840-285X" TargetMode="External"/><Relationship Id="rId4" Type="http://schemas.microsoft.com/office/2007/relationships/stylesWithEffects" Target="stylesWithEffects.xml"/><Relationship Id="rId9" Type="http://schemas.openxmlformats.org/officeDocument/2006/relationships/hyperlink" Target="https://mesopotamian.press/journals/index.php/JHSD" TargetMode="External"/><Relationship Id="rId14" Type="http://schemas.openxmlformats.org/officeDocument/2006/relationships/hyperlink" Target="https://mesopotamian.press/journals/index.php/JHSD%20" TargetMode="External"/><Relationship Id="rId22" Type="http://schemas.openxmlformats.org/officeDocument/2006/relationships/hyperlink" Target="https://creativecommons.org/licenses/by/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116C-14DF-4013-B721-EB5A8E00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2140</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The Authors, Journal of Health Sustainable Development Vol.2023, 560–571</vt:lpstr>
    </vt:vector>
  </TitlesOfParts>
  <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Abdul Kareem et al., Journal of Health Sustainable Development Vol.2025,21–25</dc:title>
  <dc:creator>Dr. AHMED</dc:creator>
  <cp:lastModifiedBy>HP</cp:lastModifiedBy>
  <cp:revision>32</cp:revision>
  <dcterms:created xsi:type="dcterms:W3CDTF">2025-02-12T19:01:00Z</dcterms:created>
  <dcterms:modified xsi:type="dcterms:W3CDTF">2025-02-22T07:27:00Z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